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인슈어체인 사업계획서</w:t>
      </w:r>
    </w:p>
    <w:p>
      <w:pPr/>
      <w:r>
        <w:t xml:space="preserve">Sep 21, 2026 · @Someone</w:t>
      </w:r>
    </w:p>
    <w:p>
      <w:pPr>
        <w:pStyle w:val="Heading2"/>
      </w:pPr>
      <w:r>
        <w:t xml:space="preserve">Executive Summary</w:t>
      </w:r>
    </w:p>
    <w:p>
      <w:pPr/>
      <w:r>
        <w:t xml:space="preserve">인슈어체인(InsureChain)은 스마트컨트랙트로 보험 계약의 심사·납입·청구·지급을 자동집행하는 블록체인 인슈어테크 플랫폼입니다. 파라메트릭(자동집행) 보험, 재보험풀 기반 리스크연동형 투자, B2B 파트너 API를 포함한 핵심 기능을 컨트랙트→백엔드→챗봇→프론트엔드 전 구간에 구현하고 167개 이상의 단위테스트로 검증했습니다.</w:t>
      </w:r>
    </w:p>
    <w:p>
      <w:pPr/>
      <w:r>
        <w:t xml:space="preserve">국내 손해보험사들이 이미 지수형(파라메트릭) 항공지연 보험을 상용화한 시장 흐름 속에서, 우리의 차별점은 </w:t>
      </w:r>
      <w:r>
        <w:rPr>
          <w:b/>
        </w:rPr>
        <w:t xml:space="preserve">사람의 심사 개입 없는 완전자동 스마트컨트랙트 집행</w:t>
      </w:r>
      <w:r>
        <w:t xml:space="preserve">과 </w:t>
      </w:r>
      <w:r>
        <w:rPr>
          <w:b/>
        </w:rPr>
        <w:t xml:space="preserve">온체인 투명성</w:t>
      </w:r>
      <w:r>
        <w:t xml:space="preserve">입니다. 한국핀테크지원센터의 디지털 금융기술 내재화 사업(창업 3년 이내, 인슈어테크·블록체인 분야) 지원을 발판으로 기존 손해보험사 1곳과의 PoC 파트너십을 구축하고, 이후 혁신금융서비스(규제샌드박스) 지정을 거쳐 정식 사업화하는 것이 목표입니다.</w:t>
      </w:r>
    </w:p>
    <w:p>
      <w:pPr>
        <w:pStyle w:val="Heading2"/>
      </w:pPr>
      <w:r>
        <w:t xml:space="preserve">문제 정의</w:t>
      </w:r>
    </w:p>
    <w:p>
      <w:pPr/>
      <w:r>
        <w:t xml:space="preserve">기존 보험·재보험 산업은 세 가지 구조적 비효율을 안고 있습니다.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청구 절차의 마찰</w:t>
      </w:r>
      <w:r>
        <w:t xml:space="preserve"> — 소액 청구도 서류 제출→심사→승인까지 수일이 걸리며, 파라메트릭(지수형) 상품조차 대부분 "공공데이터 연동+수동 심사" 단계를 거칩니다.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재보험·준비금 운용의 불투명성</w:t>
      </w:r>
      <w:r>
        <w:t xml:space="preserve"> — 원수보험사가 재보험사에 위험을 출재(ceding)하는 과정과 준비금 운용 성과가 계약자에게 투명하게 공개되지 않습니다.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B2B 데이터 연동 비용</w:t>
      </w:r>
      <w:r>
        <w:t xml:space="preserve"> — 제휴 파트너(GA, 핀테크)가 보험사의 실시간 계약 현황을 조회하려면 개별 계약·API 연동 비용이 발생합니다.</w:t>
      </w:r>
    </w:p>
    <w:p>
      <w:pPr/>
      <w:r>
        <w:t xml:space="preserve">동시에 국내 손해보험 시장에서는 삼성화재(2025년 업계 최초), 현대해상, KB손해보험이 잍따아 항공기 지연 지수형 보험을 정식 출시하며 파라메트릭 보험 자체는 이미 "익숙한 개념"이 되었지만, 이들 상품도 여전히 공공데이터 확인 후 보험사 시스템이 지급을 처리하는 중앙집중형 구조입니다. </w:t>
      </w:r>
      <w:r>
        <w:rPr>
          <w:b/>
        </w:rPr>
        <w:t xml:space="preserve">사람의 심사 개입이 전혀 없이 스마트컨트랙트가 조건 충족 시 즉시·자동으로 지급하는 구조는 국내에서 아직 상용화되지 않았습니다.</w:t>
      </w:r>
    </w:p>
    <w:p>
      <w:pPr>
        <w:pStyle w:val="Heading2"/>
      </w:pPr>
      <w:r>
        <w:t xml:space="preserve">솔루션 및 핵심 기술</w:t>
      </w:r>
    </w:p>
    <w:p>
      <w:pPr/>
      <w:r>
        <w:t xml:space="preserve">인슈어체인은 Hardhat 기반 스마트컨트랙트(Solidity 0.8.20)와 LLM 기반 보험상담 챗봇을 결합해, 상담부터 자동집행까지 하나의 파이프라인으로 연결합니다.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기능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핵심 컨트랙트/모듈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파라메트릭(자동집행) 보험</w:t>
            </w:r>
          </w:p>
        </w:tc>
        <w:tc>
          <w:tcPr>
            <w:tcW w:w="3120" w:type="dxa"/>
          </w:tcPr>
          <w:p>
            <w:pPr/>
            <w:r>
              <w:t xml:space="preserve">ParametricInsurance.sol</w:t>
            </w:r>
          </w:p>
        </w:tc>
        <w:tc>
          <w:tcPr>
            <w:tcW w:w="3120" w:type="dxa"/>
          </w:tcPr>
          <w:p>
            <w:pPr/>
            <w:r>
              <w:t xml:space="preserve">관측값이 임계치를 넘으면 심사 없이 즉시 자동지급. 폭염특보 상품은 Open-Meteo 실제 기상데이터로 관측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재보험풀</w:t>
            </w:r>
          </w:p>
        </w:tc>
        <w:tc>
          <w:tcPr>
            <w:tcW w:w="3120" w:type="dxa"/>
          </w:tcPr>
          <w:p>
            <w:pPr/>
            <w:r>
              <w:t xml:space="preserve">ReinsurancePool.sol</w:t>
            </w:r>
          </w:p>
        </w:tc>
        <w:tc>
          <w:tcPr>
            <w:tcW w:w="3120" w:type="dxa"/>
          </w:tcPr>
          <w:p>
            <w:pPr/>
            <w:r>
              <w:t xml:space="preserve">외부 투자자가 예치한 자금이 실제 보험료 유입에 연동해 지분가치가 오르내리는 리스크공유형 구조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신용보완형 유연납입</w:t>
            </w:r>
          </w:p>
        </w:tc>
        <w:tc>
          <w:tcPr>
            <w:tcW w:w="3120" w:type="dxa"/>
          </w:tcPr>
          <w:p>
            <w:pPr/>
            <w:r>
              <w:t xml:space="preserve">DentalInsurance.sol (flexiblePayment)</w:t>
            </w:r>
          </w:p>
        </w:tc>
        <w:tc>
          <w:tcPr>
            <w:tcW w:w="3120" w:type="dxa"/>
          </w:tcPr>
          <w:p>
            <w:pPr/>
            <w:r>
              <w:t xml:space="preserve">연체 시 해지환급금 한도 내 약관대출 자동 대환으로 실효 방지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웰니스 연동 동적 보험료</w:t>
            </w:r>
          </w:p>
        </w:tc>
        <w:tc>
          <w:tcPr>
            <w:tcW w:w="3120" w:type="dxa"/>
          </w:tcPr>
          <w:p>
            <w:pPr/>
            <w:r>
              <w:t xml:space="preserve">applyWellnessAdjustment()</w:t>
            </w:r>
          </w:p>
        </w:tc>
        <w:tc>
          <w:tcPr>
            <w:tcW w:w="3120" w:type="dxa"/>
          </w:tcPr>
          <w:p>
            <w:pPr/>
            <w:r>
              <w:t xml:space="preserve">건강검진 개선폭만큼 온체인 보험료를 최대 ±20% 조정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B2B 파트너 API</w:t>
            </w:r>
          </w:p>
        </w:tc>
        <w:tc>
          <w:tcPr>
            <w:tcW w:w="3120" w:type="dxa"/>
          </w:tcPr>
          <w:p>
            <w:pPr/>
            <w:r>
              <w:t xml:space="preserve">partner_api.py</w:t>
            </w:r>
          </w:p>
        </w:tc>
        <w:tc>
          <w:tcPr>
            <w:tcW w:w="3120" w:type="dxa"/>
          </w:tcPr>
          <w:p>
            <w:pPr/>
            <w:r>
              <w:t xml:space="preserve">API 키 기반 실시간 온체인 조회, 월별 사용량 정산 리포트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리스크연동형 대체투자</w:t>
            </w:r>
          </w:p>
        </w:tc>
        <w:tc>
          <w:tcPr>
            <w:tcW w:w="3120" w:type="dxa"/>
          </w:tcPr>
          <w:p>
            <w:pPr/>
            <w:r>
              <w:t xml:space="preserve">AltInvestmentFund.sol (riskLinked)</w:t>
            </w:r>
          </w:p>
        </w:tc>
        <w:tc>
          <w:tcPr>
            <w:tcW w:w="3120" w:type="dxa"/>
          </w:tcPr>
          <w:p>
            <w:pPr/>
            <w:r>
              <w:t xml:space="preserve">고정금리가 아니라 재보험풀 실제 성과에 연동되는 신규 투자상품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가스리스 온보딩</w:t>
            </w:r>
          </w:p>
        </w:tc>
        <w:tc>
          <w:tcPr>
            <w:tcW w:w="3120" w:type="dxa"/>
          </w:tcPr>
          <w:p>
            <w:pPr/>
            <w:r>
              <w:t xml:space="preserve">relay-wallet.js</w:t>
            </w:r>
          </w:p>
        </w:tc>
        <w:tc>
          <w:tcPr>
            <w:tcW w:w="3120" w:type="dxa"/>
          </w:tcPr>
          <w:p>
            <w:pPr/>
            <w:r>
              <w:t xml:space="preserve">고객이 지갑·가스비 없이도 챗봇 대화만으로 가입 완료</w:t>
            </w:r>
          </w:p>
        </w:tc>
      </w:tr>
    </w:tbl>
    <w:p>
      <w:pPr/>
      <w:r>
        <w:t xml:space="preserve">전체 기능은 167개 이상의 Hardhat 단위테스트로 검증되어 있으며, 관리자 대시보드에는 손해율·사업비율·합산비율 등 보험업 표준 수익성 지표까지 실시간으로 노출됩니다.</w:t>
      </w:r>
    </w:p>
    <w:p>
      <w:pPr>
        <w:pStyle w:val="Heading2"/>
      </w:pPr>
      <w:r>
        <w:t xml:space="preserve">시장 및 경쟁 분석</w:t>
      </w:r>
    </w:p>
    <w:p>
      <w:pPr/>
      <w:r>
        <w:t xml:space="preserve">국내 지수형(파라메트릭) 보험 시장은 이미 형성 단계에 들어섬습니다. 삼성화재가 2025년 2월 업계 최초로 "출국 항공기 지연·결항 보상 특약"을 출시했고, 이후 현대해상·KB손해보험이 유사 상품을 잍따아 내놓으며 e-티켓 등록만으로 자동보상되는 수준까지 발전했습니다 (</w:t>
      </w:r>
      <w:hyperlink r:id="rId3" w:history="1">
        <w:r>
          <w:rPr>
            <w:rStyle w:val="Hyperlink"/>
          </w:rPr>
          <w:t xml:space="preserve">한국경제</w:t>
        </w:r>
      </w:hyperlink>
      <w:r>
        <w:t xml:space="preserve">, </w:t>
      </w:r>
      <w:hyperlink r:id="rId4" w:history="1">
        <w:r>
          <w:rPr>
            <w:rStyle w:val="Hyperlink"/>
          </w:rPr>
          <w:t xml:space="preserve">뉴스핀</w:t>
        </w:r>
      </w:hyperlink>
      <w:r>
        <w:t xml:space="preserve">).</w:t>
      </w:r>
    </w:p>
    <w:p>
      <w:pPr/>
      <w:r>
        <w:t xml:space="preserve">다만 이들 상품은 모두 "보험사 자체 시스템이 공공데이터를 확인해 지급을 승인"하는 중앙집중형 구조입니다. 우리의 차별점은 두 가지입니다.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완전자동 스마트컨트랙트 집행</w:t>
      </w:r>
      <w:r>
        <w:t xml:space="preserve"> — 사람/시스템의 승인 단계 없이 온체인 오라클이 조건 충족을 확인하는 즉시 컨트랙트가 지급을 실행합니다.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미개척 리스크 영역</w:t>
      </w:r>
      <w:r>
        <w:t xml:space="preserve"> — 항공지연은 이미 경쟁이 형성됐지만, 폭염특보 등 기후 리스크 연동 파라메트릭 상품은 국내 상용화 사례가 확인되지 않아 초기 시장 선점이 가능합니다.</w:t>
      </w:r>
    </w:p>
    <w:p>
      <w:pPr/>
      <w:r>
        <w:t xml:space="preserve">경쟁사 대비 진입장벽은 낮지 않습니다 — 기존 손보사는 자본력과 라이선스를, 우리는 기술과 속도를 무기로 삼아야 하므로, 아래 로드맵에서 다루듯 "경쟁"이 아니라 "이들 손보사에 기술을 공급하는 B2B 파트너"로 포지션닝하는 것이 현실적입니다.</w:t>
      </w:r>
    </w:p>
    <w:p>
      <w:pPr>
        <w:pStyle w:val="Heading2"/>
      </w:pPr>
      <w:r>
        <w:t xml:space="preserve">비즈니스 모델</w:t>
      </w:r>
    </w:p>
    <w:p>
      <w:pPr/>
      <w:r>
        <w:t xml:space="preserve">매출은 세 갈래로 설계했습니다.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B2B SaaS(파트너 API)</w:t>
      </w:r>
      <w:r>
        <w:t xml:space="preserve"> — 보험대리점(GA)·핀테크사가 API 키로 실시간 온체인 계약 현황을 조회하고, 호출량 기준으로 월별 정산합니다(호출당 단가 × 월 호출수, 관리자 페이지에서 CSV 정산서 발급).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기술 라이선싱</w:t>
      </w:r>
      <w:r>
        <w:t xml:space="preserve"> — 스마트컨트랙트 기반 자동집행 인프라 자체를 기존 라이선스 보험사에 공급(연간 라이선스료 + 유지보수).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재보험풀 운용 수수료</w:t>
      </w:r>
      <w:r>
        <w:t xml:space="preserve"> — 외부 유동성 공급자가 재보험풀에 예치한 자금의 실제 보험료 유입분 중 일부를 플랫폼 운영 수수료로 수취.</w:t>
      </w:r>
    </w:p>
    <w:p>
      <w:pPr/>
      <w:r>
        <w:t xml:space="preserve">1번(B2B API)은 이미 코드 수준으로 구현·검증되어 있어 파일럷 즉시 매출화가 가능한 유일한 트랙입니다.</w:t>
      </w:r>
    </w:p>
    <w:p>
      <w:pPr>
        <w:pStyle w:val="Heading3"/>
      </w:pPr>
      <w:r>
        <w:t xml:space="preserve">수익 구조 상세 — 4가지 유형으로 분리</w:t>
      </w:r>
    </w:p>
    <w:p>
      <w:pPr/>
      <w:r>
        <w:t xml:space="preserve">단일 매출원이 아니라 4개 성격의 수익이 함께 쓰이는 구조로 설계해, 초기 현금흐름(1회성)과 장기 기업가치(연속성)를 동시에 확보합니다.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수익 유형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구체 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수익 원천을 만드는 이유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1회성 수익</w:t>
            </w:r>
          </w:p>
        </w:tc>
        <w:tc>
          <w:tcPr>
            <w:tcW w:w="3120" w:type="dxa"/>
          </w:tcPr>
          <w:p>
            <w:pPr/>
            <w:r>
              <w:t xml:space="preserve">보험사 대상 초기 구축비(셀업비)</w:t>
            </w:r>
          </w:p>
        </w:tc>
        <w:tc>
          <w:tcPr>
            <w:tcW w:w="3120" w:type="dxa"/>
          </w:tcPr>
          <w:p>
            <w:pPr/>
            <w:r>
              <w:t xml:space="preserve">스마트컨트랙트 인프라를 보험사 기존 시스템에 추적장치 연동하는 초기 구축·데이터 마이그레이션 작업(1회성 용역)</w:t>
            </w:r>
          </w:p>
        </w:tc>
      </w:tr>
      <w:tr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B2B 파트너 API 온보딩 수수료</w:t>
            </w:r>
          </w:p>
        </w:tc>
        <w:tc>
          <w:tcPr>
            <w:tcW w:w="3120" w:type="dxa"/>
          </w:tcPr>
          <w:p>
            <w:pPr/>
            <w:r>
              <w:t xml:space="preserve">파트너사 API 키 최초 발급·연동 지원에 대한 일회성 수수료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연속성 수익</w:t>
            </w:r>
          </w:p>
        </w:tc>
        <w:tc>
          <w:tcPr>
            <w:tcW w:w="3120" w:type="dxa"/>
          </w:tcPr>
          <w:p>
            <w:pPr/>
            <w:r>
              <w:t xml:space="preserve">B2B API 월 정산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partner_api.py</w:t>
            </w:r>
            <w:r>
              <w:t xml:space="preserve">가 이미 구현한 호출량 기준 월별 구독료(계약 유지되는 한 매달 반복 발생)</w:t>
            </w:r>
          </w:p>
        </w:tc>
      </w:tr>
      <w:tr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기술 라이선스 연간 유지보수료</w:t>
            </w:r>
          </w:p>
        </w:tc>
        <w:tc>
          <w:tcPr>
            <w:tcW w:w="3120" w:type="dxa"/>
          </w:tcPr>
          <w:p>
            <w:pPr/>
            <w:r>
              <w:t xml:space="preserve">인프라 구독형 계약(SaaS 연간 계약 갱신)</w:t>
            </w:r>
          </w:p>
        </w:tc>
      </w:tr>
      <w:tr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재보험풀 운용자산(AUM) 수수료</w:t>
            </w:r>
          </w:p>
        </w:tc>
        <w:tc>
          <w:tcPr>
            <w:tcW w:w="3120" w:type="dxa"/>
          </w:tcPr>
          <w:p>
            <w:pPr/>
            <w:r>
              <w:t xml:space="preserve">예치자산 규모에 비례해 매기 수취하는 정기 운용수수료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비용절감 → 수익전환</w:t>
            </w:r>
          </w:p>
        </w:tc>
        <w:tc>
          <w:tcPr>
            <w:tcW w:w="3120" w:type="dxa"/>
          </w:tcPr>
          <w:p>
            <w:pPr/>
            <w:r>
              <w:t xml:space="preserve">청구처리 자동화 성과공유(Gain-sharing)</w:t>
            </w:r>
          </w:p>
        </w:tc>
        <w:tc>
          <w:tcPr>
            <w:tcW w:w="3120" w:type="dxa"/>
          </w:tcPr>
          <w:p>
            <w:pPr/>
            <w:r>
              <w:t xml:space="preserve">심사자 개입 없는 자동지급으로 보험사의 심사·인건비가 줄어드는 만큼, 그 절감액의 일부를 성과수수료로 수취(절감된 비용이 우리의 매출로 전환)</w:t>
            </w:r>
          </w:p>
        </w:tc>
      </w:tr>
      <w:tr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자동납입·연체대응 운영비 절감 공유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autoCoverArrearsWithLoan()</w:t>
            </w:r>
            <w:r>
              <w:t xml:space="preserve">이 수동 추심·콜센터 대응 비용을 없애는 만큼, 그 절감분의 일부를 라이선스료에 반영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수수료 절감(차별화 가치)</w:t>
            </w:r>
          </w:p>
        </w:tc>
        <w:tc>
          <w:tcPr>
            <w:tcW w:w="3120" w:type="dxa"/>
          </w:tcPr>
          <w:p>
            <w:pPr/>
            <w:r>
              <w:t xml:space="preserve">재보험 중개(브로커) 수수료 대체</w:t>
            </w:r>
          </w:p>
        </w:tc>
        <w:tc>
          <w:tcPr>
            <w:tcW w:w="3120" w:type="dxa"/>
          </w:tcPr>
          <w:p>
            <w:pPr/>
            <w:r>
              <w:t xml:space="preserve">전통적 재보험은 브로커가 개입해 보험료의 상당 비율을 수수료로 가져가지만, </w:t>
            </w:r>
            <w:r>
              <w:rPr>
                <w:rStyle w:val="CodeChar"/>
              </w:rPr>
              <w:t xml:space="preserve">ReinsurancePool.sol</w:t>
            </w:r>
            <w:r>
              <w:t xml:space="preserve">은 원수사·투자자를 온체인에서 직접 연결해 이 중개수수료를 낮추고, 절감분을 양쪽(원수사·투자자)과 나누어 갖는 구조</w:t>
            </w:r>
          </w:p>
        </w:tc>
      </w:tr>
      <w:tr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청구 건당 처리원가 절감</w:t>
            </w:r>
          </w:p>
        </w:tc>
        <w:tc>
          <w:tcPr>
            <w:tcW w:w="3120" w:type="dxa"/>
          </w:tcPr>
          <w:p>
            <w:pPr/>
            <w:r>
              <w:t xml:space="preserve">자동집행으로 사람 개입 대비 처리원가가 낮아져, 이 가격경쟁력을 바탕으로 파트너에게 더 낮은 수수료를 제시해도 마진 확보 가능</w:t>
            </w:r>
          </w:p>
        </w:tc>
      </w:tr>
    </w:tbl>
    <w:p>
      <w:pPr/>
      <w:r>
        <w:t xml:space="preserve">이 구조의 핵심은 </w:t>
      </w:r>
      <w:r>
        <w:rPr>
          <w:b/>
        </w:rPr>
        <w:t xml:space="preserve">연속성 수익(B2B API, 라이선스, AUM 수수료)이 전체 매출의 기반을 이루고</w:t>
      </w:r>
      <w:r>
        <w:t xml:space="preserve">, 1회성 수익은 초기 현금흐름을, 비용절감·수수료절감 구조는 경쟁사 대비 차별화된 가격 경쟁력을 제공한다는 점입니다.</w:t>
      </w:r>
    </w:p>
    <w:p>
      <w:pPr>
        <w:pStyle w:val="Heading2"/>
      </w:pPr>
      <w:r>
        <w:t xml:space="preserve">기술 검증 현황 (Traction)</w:t>
      </w:r>
    </w:p>
    <w:p>
      <w:pPr>
        <w:pStyle w:val="ListParagraph"/>
        <w:numPr>
          <w:ilvl w:val="0"/>
          <w:numId w:val="5"/>
        </w:numPr>
      </w:pPr>
      <w:r>
        <w:t xml:space="preserve">컨트랙트 7종(DentalInsurance, ReserveFund, AltInvestmentFund, ReinsurancePool, ParametricInsurance 등) 구현 완료, 로컬 Hardhat 환경에서 가입→납입→청구→만기환급 전체 파이프라인 종단 검증</w:t>
      </w:r>
    </w:p>
    <w:p>
      <w:pPr>
        <w:pStyle w:val="ListParagraph"/>
        <w:numPr>
          <w:ilvl w:val="0"/>
          <w:numId w:val="5"/>
        </w:numPr>
      </w:pPr>
      <w:r>
        <w:t xml:space="preserve">단위테스트 167개 이상 통과(신규 리스크연동형 펀드 테스트 포함)</w:t>
      </w:r>
    </w:p>
    <w:p>
      <w:pPr>
        <w:pStyle w:val="ListParagraph"/>
        <w:numPr>
          <w:ilvl w:val="0"/>
          <w:numId w:val="5"/>
        </w:numPr>
      </w:pPr>
      <w:r>
        <w:t xml:space="preserve">LLM 기반 상담 챗봇이 18종 언더라이팅 도구, 온체인 조회 도구 3종을 실시간 호출</w:t>
      </w:r>
    </w:p>
    <w:p>
      <w:pPr>
        <w:pStyle w:val="ListParagraph"/>
        <w:numPr>
          <w:ilvl w:val="0"/>
          <w:numId w:val="5"/>
        </w:numPr>
      </w:pPr>
      <w:r>
        <w:t xml:space="preserve">관리자 대시보드에 손해율·사업비율·합산비율 등 보험업 표준 지표 실시간 노출 — 투자자/파트너 대상 수익성 증빙 자료로 즉시 활용 가능</w:t>
      </w:r>
    </w:p>
    <w:p>
      <w:pPr>
        <w:pStyle w:val="ListParagraph"/>
        <w:numPr>
          <w:ilvl w:val="0"/>
          <w:numId w:val="5"/>
        </w:numPr>
      </w:pPr>
      <w:r>
        <w:t xml:space="preserve">Slack 양방향 연동, 이메일 자동발송(증권 발급/청구 처리) 등 실사용 운영 기능까지 구현</w:t>
      </w:r>
    </w:p>
    <w:p>
      <w:pPr>
        <w:pStyle w:val="Heading2"/>
      </w:pPr>
      <w:r>
        <w:t xml:space="preserve">사업화 로드맵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단계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기간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목표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핵심 활동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 파일럷 준비</w:t>
            </w:r>
          </w:p>
        </w:tc>
        <w:tc>
          <w:tcPr>
            <w:tcW w:w="2340" w:type="dxa"/>
          </w:tcPr>
          <w:p>
            <w:pPr/>
            <w:r>
              <w:t xml:space="preserve">0~3개월</w:t>
            </w:r>
          </w:p>
        </w:tc>
        <w:tc>
          <w:tcPr>
            <w:tcW w:w="2340" w:type="dxa"/>
          </w:tcPr>
          <w:p>
            <w:pPr/>
            <w:r>
              <w:t xml:space="preserve">사업계획 확정</w:t>
            </w:r>
          </w:p>
        </w:tc>
        <w:tc>
          <w:tcPr>
            <w:tcW w:w="2340" w:type="dxa"/>
          </w:tcPr>
          <w:p>
            <w:pPr/>
            <w:r>
              <w:t xml:space="preserve">법인 설립/사업자등록, 디지털 금융기술 내재화 사업 지원서 제출, 한국핀테크지원센터 무료 컸설팅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 컨소시엄 구축</w:t>
            </w:r>
          </w:p>
        </w:tc>
        <w:tc>
          <w:tcPr>
            <w:tcW w:w="2340" w:type="dxa"/>
          </w:tcPr>
          <w:p>
            <w:pPr/>
            <w:r>
              <w:t xml:space="preserve">3~9개월</w:t>
            </w:r>
          </w:p>
        </w:tc>
        <w:tc>
          <w:tcPr>
            <w:tcW w:w="2340" w:type="dxa"/>
          </w:tcPr>
          <w:p>
            <w:pPr/>
            <w:r>
              <w:t xml:space="preserve">손보사 1곳 PoC MOU</w:t>
            </w:r>
          </w:p>
        </w:tc>
        <w:tc>
          <w:tcPr>
            <w:tcW w:w="2340" w:type="dxa"/>
          </w:tcPr>
          <w:p>
            <w:pPr/>
            <w:r>
              <w:t xml:space="preserve">폭염특보 파라메트릭 상품 중심 PoC, 혁신금융서비스 공동신청 검토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 규제샌드박스 실증</w:t>
            </w:r>
          </w:p>
        </w:tc>
        <w:tc>
          <w:tcPr>
            <w:tcW w:w="2340" w:type="dxa"/>
          </w:tcPr>
          <w:p>
            <w:pPr/>
            <w:r>
              <w:t xml:space="preserve">9~24개월</w:t>
            </w:r>
          </w:p>
        </w:tc>
        <w:tc>
          <w:tcPr>
            <w:tcW w:w="2340" w:type="dxa"/>
          </w:tcPr>
          <w:p>
            <w:pPr/>
            <w:r>
              <w:t xml:space="preserve">혁신금융서비스 지정(최대 2+2년 한시)</w:t>
            </w:r>
          </w:p>
        </w:tc>
        <w:tc>
          <w:tcPr>
            <w:tcW w:w="2340" w:type="dxa"/>
          </w:tcPr>
          <w:p>
            <w:pPr/>
            <w:r>
              <w:t xml:space="preserve">소규모 실사용자 대상 실증, B2B API 유료 파트너 확보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 정식 라이선스 전환</w:t>
            </w:r>
          </w:p>
        </w:tc>
        <w:tc>
          <w:tcPr>
            <w:tcW w:w="2340" w:type="dxa"/>
          </w:tcPr>
          <w:p>
            <w:pPr/>
            <w:r>
              <w:t xml:space="preserve">24개월~</w:t>
            </w:r>
          </w:p>
        </w:tc>
        <w:tc>
          <w:tcPr>
            <w:tcW w:w="2340" w:type="dxa"/>
          </w:tcPr>
          <w:p>
            <w:pPr/>
            <w:r>
              <w:t xml:space="preserve">규제특례 만료 전 정식 전환</w:t>
            </w:r>
          </w:p>
        </w:tc>
        <w:tc>
          <w:tcPr>
            <w:tcW w:w="2340" w:type="dxa"/>
          </w:tcPr>
          <w:p>
            <w:pPr/>
            <w:r>
              <w:t xml:space="preserve">GA 등록 또는 보험사 정식 기술공급 계약, 필요 시 VASP 등록(스테이블코인 결제 확대)</w:t>
            </w:r>
          </w:p>
        </w:tc>
      </w:tr>
    </w:tbl>
    <w:p>
      <w:pPr>
        <w:pStyle w:val="Heading2"/>
      </w:pPr>
      <w:r>
        <w:t xml:space="preserve">가상자산·스테이블코인 연계 확장 — 블루오션 신사업</w:t>
      </w:r>
    </w:p>
    <w:p>
      <w:pPr/>
      <w:r>
        <w:t xml:space="preserve">국내외 보험업계는 보험료 납부·보험금 지급을 스테이블코인으로 처리하는 실험을 이미 시작했습니다. 인슈어체인이 구축한 준비금 계좌(ReserveFund)·리스크연동형 대체투자(AltInvestmentFund) 인프라는 추가 개발 없이 가상자산 운용·투자자문 영역으로 그대로 확장할 수 있어, 기존 손보사 경쟁사가 아직 진입하지 않은 블루오션 신사업입니다.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확장 단계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사업 내용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재사용 인프라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수익 효과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A. 준비금 자동매매 운용</w:t>
            </w:r>
          </w:p>
        </w:tc>
        <w:tc>
          <w:tcPr>
            <w:tcW w:w="2340" w:type="dxa"/>
          </w:tcPr>
          <w:p>
            <w:pPr/>
            <w:r>
              <w:t xml:space="preserve">준비금 일부를 검증된 알고리즘(auto_upbit)으로 운용하고 손익을 챗봇에 실시간 공시</w:t>
            </w:r>
          </w:p>
        </w:tc>
        <w:tc>
          <w:tcPr>
            <w:tcW w:w="2340" w:type="dxa"/>
          </w:tcPr>
          <w:p>
            <w:pPr/>
            <w:r>
              <w:t xml:space="preserve">ReserveFund, 기존 온체인 조회 도구(get_blockchain_dental_status류) 패턴</w:t>
            </w:r>
          </w:p>
        </w:tc>
        <w:tc>
          <w:tcPr>
            <w:tcW w:w="2340" w:type="dxa"/>
          </w:tcPr>
          <w:p>
            <w:pPr/>
            <w:r>
              <w:t xml:space="preserve">투명성 강화로 리텐션 상승 — 투자자문 등록 없이 진행 가능한 가장 낮은 리스크 트랙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B. 크립토 인덱스 연동 상품</w:t>
            </w:r>
          </w:p>
        </w:tc>
        <w:tc>
          <w:tcPr>
            <w:tcW w:w="2340" w:type="dxa"/>
          </w:tcPr>
          <w:p>
            <w:pPr/>
            <w:r>
              <w:t xml:space="preserve">재보험풀 실적 대신 가상자산 인덱스 성과에 연동되는 신규 대체투자 펀드 출시</w:t>
            </w:r>
          </w:p>
        </w:tc>
        <w:tc>
          <w:tcPr>
            <w:tcW w:w="2340" w:type="dxa"/>
          </w:tcPr>
          <w:p>
            <w:pPr/>
            <w:r>
              <w:t xml:space="preserve">AltInvestmentFund의 리스크연동형(riskLinked) 구조 그대로 재사용</w:t>
            </w:r>
          </w:p>
        </w:tc>
        <w:tc>
          <w:tcPr>
            <w:tcW w:w="2340" w:type="dxa"/>
          </w:tcPr>
          <w:p>
            <w:pPr/>
            <w:r>
              <w:t xml:space="preserve">신규 개발 없이 상품 라인업만 확장 — AUM 수수료라는 신규 수익원 추가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C. 개인 자산관리 허브 + 투자자문</w:t>
            </w:r>
          </w:p>
        </w:tc>
        <w:tc>
          <w:tcPr>
            <w:tcW w:w="2340" w:type="dxa"/>
          </w:tcPr>
          <w:p>
            <w:pPr/>
            <w:r>
              <w:t xml:space="preserve">고객 리스크 프로파일 기반 개인별 자동매매 연계, 보험자산+가상자산 통합 조회</w:t>
            </w:r>
          </w:p>
        </w:tc>
        <w:tc>
          <w:tcPr>
            <w:tcW w:w="2340" w:type="dxa"/>
          </w:tcPr>
          <w:p>
            <w:pPr/>
            <w:r>
              <w:t xml:space="preserve">챗봇 지갑 등록 UX, 언더라이팅 진단 도구(질문→점수→등급) 구조</w:t>
            </w:r>
          </w:p>
        </w:tc>
        <w:tc>
          <w:tcPr>
            <w:tcW w:w="2340" w:type="dxa"/>
          </w:tcPr>
          <w:p>
            <w:pPr/>
            <w:r>
              <w:t xml:space="preserve">락인 강화 + 자산관리 수수료라는 신규 수익모델</w:t>
            </w:r>
          </w:p>
        </w:tc>
      </w:tr>
    </w:tbl>
    <w:p>
      <w:pPr/>
      <w:r>
        <w:t xml:space="preserve">세 방향 모두 국내 손해보험사 대비 뚜렷한 차별화 요소입니다 — 앞서 언급한 삼성화재·현대해상·KB손해보험의 파라메트릭 상품은 지급 자동화에 그치지만, 가상자산 운용·투자자문까지 결합한 사례는 국내에서 확인되지 않아 초기 시장 선점이 가능합니다.</w:t>
      </w:r>
    </w:p>
    <w:p>
      <w:pPr/>
      <w:r>
        <w:t xml:space="preserve">국내외 보험업계 전반이 이미 같은 방향으로 움직이고 있습니다.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교보생명</w:t>
      </w:r>
      <w:r>
        <w:t xml:space="preserve"> — 원화 스테이블코인 기반 보험료 납부·보험금 지급 기술검증을 EQBR과 완료(2026.6)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Ripple × 교보생명</w:t>
      </w:r>
      <w:r>
        <w:t xml:space="preserve"> — 토큰화 국채 결제 및 스테이블코인 결제 레일 구축을 위한 전략적 파트너십 체결(2026)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Aon</w:t>
      </w:r>
      <w:r>
        <w:t xml:space="preserve"> — Coinbase·Paxos와 함께 USDC·PYUSD 기반 보험료 결제 PoC 진행, 글로벌 보험중개사 최초 사례로 발표(2026.3)</w:t>
      </w:r>
    </w:p>
    <w:p>
      <w:pPr/>
      <w:r>
        <w:t xml:space="preserve">규제 대응은 앞서 정리한 ‘리스크 및 대응방안’의 원칙(자본시장법상 유사수신 소지에 대한 법률자문 선행, 특정금융정보법상 VASP 등록 요건)을 그대로 적용합니다. 다만 이 요건이 사업 자체를 막는 것은 아니며, 필요 시 투자자문·자산운용 기능만 별도 법인 또는 라이선스로 분리해 사업화 로드맵의 3~4단계(규제샌드박스 실증~정식 라이선스 전환)에 자연스럽게 편입할 수 있는 옵션으로 열어둡니다. 리스크가 가장 낮은 A(준비금 운용)부터 단계적으로 시작하는 것을 권장합니다.</w:t>
      </w:r>
    </w:p>
    <w:p>
      <w:pPr>
        <w:pStyle w:val="Heading2"/>
      </w:pPr>
      <w:r>
        <w:t xml:space="preserve">정부지원사업 연계 전략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디지털 금융기술 내재화 사업(한국핀테크지원센터)</w:t>
      </w:r>
      <w:r>
        <w:t xml:space="preserve"> — 창업 3년 이내 핀테크 기업 대상, 모집분야에 인슈어테크·블록체인·디지털자산이 명시되어 있어 본 사업계획서와 가장 부합합니다. 사업자금과 1:1 전문가 멘토링을 1단계 재원으로 활용합니다.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혁신금융서비스(규제샌드박스)</w:t>
      </w:r>
      <w:r>
        <w:t xml:space="preserve"> — 신청 주체는 "국내 상법상 회사 또는 금융회사 등"으로 스타트업도 법적 자격은 있으나, 누적 지정 1,000건 이상 중 스타트업 비중이 10%에 그치고 있어(</w:t>
      </w:r>
      <w:hyperlink r:id="rId5" w:history="1">
        <w:r>
          <w:rPr>
            <w:rStyle w:val="Hyperlink"/>
          </w:rPr>
          <w:t xml:space="preserve">네이트뉴스</w:t>
        </w:r>
      </w:hyperlink>
      <w:r>
        <w:t xml:space="preserve">) 손보사와의 컸소시엄 공동신청이 현실적입니다. 규제특례는 최대 4년(2+2년) 한시적이므로 이 기간 내 정식 전환 계획을 병행합니다.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TIPS</w:t>
      </w:r>
      <w:r>
        <w:t xml:space="preserve"> — 민간 투자사 추천이 선행 조건이라, 1~2단계 이후 시드 투자 유치 성공 시 후속 트랙으로 활용합니다.</w:t>
      </w:r>
    </w:p>
    <w:p>
      <w:pPr>
        <w:pStyle w:val="Heading2"/>
      </w:pPr>
      <w:r>
        <w:t xml:space="preserve">리스크 및 대응방안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리스크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내용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대응방안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보험업법 라이선스</w:t>
            </w:r>
          </w:p>
        </w:tc>
        <w:tc>
          <w:tcPr>
            <w:tcW w:w="3120" w:type="dxa"/>
          </w:tcPr>
          <w:p>
            <w:pPr/>
            <w:r>
              <w:t xml:space="preserve">무허가 보험 판매 금지</w:t>
            </w:r>
          </w:p>
        </w:tc>
        <w:tc>
          <w:tcPr>
            <w:tcW w:w="3120" w:type="dxa"/>
          </w:tcPr>
          <w:p>
            <w:pPr/>
            <w:r>
              <w:t xml:space="preserve">자체 라이선스 취득 대신 기존 보험사 대상 B2B 기술공급자로 포지션닝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자본시장법상 유사수신 소지</w:t>
            </w:r>
          </w:p>
        </w:tc>
        <w:tc>
          <w:tcPr>
            <w:tcW w:w="3120" w:type="dxa"/>
          </w:tcPr>
          <w:p>
            <w:pPr/>
            <w:r>
              <w:t xml:space="preserve">재보험풀/대체투자 상품이 미등록 집합투자로 해석될 위험</w:t>
            </w:r>
          </w:p>
        </w:tc>
        <w:tc>
          <w:tcPr>
            <w:tcW w:w="3120" w:type="dxa"/>
          </w:tcPr>
          <w:p>
            <w:pPr/>
            <w:r>
              <w:t xml:space="preserve">실자금 유치 전 반드시 법률 자문, 필요 시 투자자를 한정된 전문투자자로 제한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특정금융정보법(VASP)</w:t>
            </w:r>
          </w:p>
        </w:tc>
        <w:tc>
          <w:tcPr>
            <w:tcW w:w="3120" w:type="dxa"/>
          </w:tcPr>
          <w:p>
            <w:pPr/>
            <w:r>
              <w:t xml:space="preserve">가상자산 결제 수취 시 VASP 등록 의무</w:t>
            </w:r>
          </w:p>
        </w:tc>
        <w:tc>
          <w:tcPr>
            <w:tcW w:w="3120" w:type="dxa"/>
          </w:tcPr>
          <w:p>
            <w:pPr/>
            <w:r>
              <w:t xml:space="preserve">초기에는 원화 결제만 지원하고 블록체인은 백엔드 자동화 레이어로만 사용(가스리스 릴레이어 구조 활용)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규제특례 만료</w:t>
            </w:r>
          </w:p>
        </w:tc>
        <w:tc>
          <w:tcPr>
            <w:tcW w:w="3120" w:type="dxa"/>
          </w:tcPr>
          <w:p>
            <w:pPr/>
            <w:r>
              <w:t xml:space="preserve">혁신금융서비스 특례는 최대 4년 한시</w:t>
            </w:r>
          </w:p>
        </w:tc>
        <w:tc>
          <w:tcPr>
            <w:tcW w:w="3120" w:type="dxa"/>
          </w:tcPr>
          <w:p>
            <w:pPr/>
            <w:r>
              <w:t xml:space="preserve">특례 기간 중 정식 GA 등록 또는 보험사 정식 계약으로 전환 완료 목표</w:t>
            </w:r>
          </w:p>
        </w:tc>
      </w:tr>
    </w:tbl>
    <w:p>
      <w:pPr>
        <w:pStyle w:val="Heading2"/>
      </w:pPr>
      <w:r>
        <w:t xml:space="preserve">자금 운용 계획</w:t>
      </w:r>
    </w:p>
    <w:p>
      <w:pPr/>
      <w:r>
        <w:t xml:space="preserve">지원금은 다음 항목에 우선 배분합니다.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비중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비고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R&amp;D(스마트컨트랙트 감사·정적분석, 가스리스 온보딩 고도화)</w:t>
            </w:r>
          </w:p>
        </w:tc>
        <w:tc>
          <w:tcPr>
            <w:tcW w:w="3120" w:type="dxa"/>
          </w:tcPr>
          <w:p>
            <w:pPr/>
            <w:r>
              <w:t xml:space="preserve">40%</w:t>
            </w:r>
          </w:p>
        </w:tc>
        <w:tc>
          <w:tcPr>
            <w:tcW w:w="3120" w:type="dxa"/>
          </w:tcPr>
          <w:p>
            <w:pPr/>
            <w:r>
              <w:t xml:space="preserve">외부 보안 감사(Slither 등) 비용 포함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법률·규제 자문(보험업법, 자본시장법, 특금법 검토)</w:t>
            </w:r>
          </w:p>
        </w:tc>
        <w:tc>
          <w:tcPr>
            <w:tcW w:w="3120" w:type="dxa"/>
          </w:tcPr>
          <w:p>
            <w:pPr/>
            <w:r>
              <w:t xml:space="preserve">20%</w:t>
            </w:r>
          </w:p>
        </w:tc>
        <w:tc>
          <w:tcPr>
            <w:tcW w:w="3120" w:type="dxa"/>
          </w:tcPr>
          <w:p>
            <w:pPr/>
            <w:r>
              <w:t xml:space="preserve">사업화 전 필수 선행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인건비(백엔드/스마트컨트랙트 개발 인력 충원)</w:t>
            </w:r>
          </w:p>
        </w:tc>
        <w:tc>
          <w:tcPr>
            <w:tcW w:w="3120" w:type="dxa"/>
          </w:tcPr>
          <w:p>
            <w:pPr/>
            <w:r>
              <w:t xml:space="preserve">25%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마케팅·파트너십 개발(손보사 PoC 협상, 컨퍼런스)</w:t>
            </w:r>
          </w:p>
        </w:tc>
        <w:tc>
          <w:tcPr>
            <w:tcW w:w="3120" w:type="dxa"/>
          </w:tcPr>
          <w:p>
            <w:pPr/>
            <w:r>
              <w:t xml:space="preserve">15%</w:t>
            </w:r>
          </w:p>
        </w:tc>
        <w:tc>
          <w:tcPr>
            <w:tcW w:w="3120" w:type="dxa"/>
          </w:tcPr>
          <w:p>
            <w:pPr/>
          </w:p>
        </w:tc>
      </w:tr>
    </w:tbl>
    <w:p>
      <w:pPr/>
      <w:r>
        <w:rPr>
          <w:i/>
        </w:rPr>
        <w:t xml:space="preserve">구체적 지원금 규모는 확정된 지원사업에 따라 재조정이 필요합니다.</w:t>
      </w:r>
    </w:p>
    <w:p>
      <w:pPr>
        <w:pStyle w:val="Heading2"/>
      </w:pPr>
      <w:r>
        <w:t xml:space="preserve">팀 구성</w:t>
      </w:r>
    </w:p>
    <w:p>
      <w:pPr/>
      <w:r>
        <w:t xml:space="preserve">아래는 작성 가이드입니다 — 실제 팀원 정보(이름, 역할, 경력)를 채워 완성해주세요.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담당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주요 역량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대표/기획</w:t>
            </w:r>
          </w:p>
        </w:tc>
        <w:tc>
          <w:tcPr>
            <w:tcW w:w="3120" w:type="dxa"/>
          </w:tcPr>
          <w:p>
            <w:pPr/>
            <w:r>
              <w:t xml:space="preserve">[이름 입력]</w:t>
            </w:r>
          </w:p>
        </w:tc>
        <w:tc>
          <w:tcPr>
            <w:tcW w:w="3120" w:type="dxa"/>
          </w:tcPr>
          <w:p>
            <w:pPr/>
            <w:r>
              <w:t xml:space="preserve">[경력/전공 입력]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블록체인 개발</w:t>
            </w:r>
          </w:p>
        </w:tc>
        <w:tc>
          <w:tcPr>
            <w:tcW w:w="3120" w:type="dxa"/>
          </w:tcPr>
          <w:p>
            <w:pPr/>
            <w:r>
              <w:t xml:space="preserve">[이름 입력]</w:t>
            </w:r>
          </w:p>
        </w:tc>
        <w:tc>
          <w:tcPr>
            <w:tcW w:w="3120" w:type="dxa"/>
          </w:tcPr>
          <w:p>
            <w:pPr/>
            <w:r>
              <w:t xml:space="preserve">Solidity, Hardhat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백엔드/AI</w:t>
            </w:r>
          </w:p>
        </w:tc>
        <w:tc>
          <w:tcPr>
            <w:tcW w:w="3120" w:type="dxa"/>
          </w:tcPr>
          <w:p>
            <w:pPr/>
            <w:r>
              <w:t xml:space="preserve">[이름 입력]</w:t>
            </w:r>
          </w:p>
        </w:tc>
        <w:tc>
          <w:tcPr>
            <w:tcW w:w="3120" w:type="dxa"/>
          </w:tcPr>
          <w:p>
            <w:pPr/>
            <w:r>
              <w:t xml:space="preserve">Python, LLM 통합</w:t>
            </w:r>
          </w:p>
        </w:tc>
      </w:tr>
    </w:tbl>
    <w:p>
      <w:pPr/>
      <w:r>
        <w:t xml:space="preserve">향후 채용 계획: 규제 대응을 위한 법무 자문역(파트타임/고문) 1인 확보를 1단계 우선순위로 둡니다.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hankyung.com/article/202502070168P" TargetMode="External"/><Relationship Id="rId4" Type="http://schemas.openxmlformats.org/officeDocument/2006/relationships/hyperlink" Target="https://www.newspim.com/news/view/20260316000383" TargetMode="External"/><Relationship Id="rId5" Type="http://schemas.openxmlformats.org/officeDocument/2006/relationships/hyperlink" Target="https://news.nate.com/view/20260210n40934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인슈어체인 사업계획서</dc:title>
  <dc:description>Claude Docs node/a60522f2-b63b@14 docx-w5</dc:description>
  <cp:revision>14</cp:revision>
</cp:coreProperties>
</file>