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GSI7723 Short Essay — 확장판</w:t>
      </w:r>
    </w:p>
    <w:p>
      <w:pPr>
        <w:spacing w:after="60"/>
      </w:pPr>
      <w:r>
        <w:rPr>
          <w:rFonts w:ascii="Malgun Gothic" w:cs="Malgun Gothic" w:eastAsia="Malgun Gothic" w:hAnsi="Malgun Gothic"/>
          <w:i/>
          <w:iCs/>
          <w:color w:val="5A5E68"/>
          <w:sz w:val="22"/>
          <w:szCs w:val="22"/>
        </w:rPr>
        <w:t xml:space="preserve">보험상담 AI Agent × 블록체인 인슈어테크 — 사업화 상세본 (제출용 2페이지 요약본의 원 소스)</w:t>
      </w:r>
    </w:p>
    <w:p>
      <w:pPr>
        <w:spacing w:after="300"/>
      </w:pPr>
      <w:r>
        <w:rPr>
          <w:rFonts w:ascii="Malgun Gothic" w:cs="Malgun Gothic" w:eastAsia="Malgun Gothic" w:hAnsi="Malgun Gothic"/>
          <w:color w:val="5A5E68"/>
          <w:sz w:val="19"/>
          <w:szCs w:val="19"/>
        </w:rPr>
        <w:t xml:space="preserve">[선택 트랙] (B) AI 도입/활용 트랙 — 제출본(GSI7723_short_essay_....docx)은 2페이지 제한 양식이라 핵심만 압축했고, 이 문서는 그 모든 근거와 세부 내용을 페이지 제한 없이 풀어쓴 확장판입니다.</w:t>
      </w:r>
    </w:p>
    <w:p>
      <w:pPr>
        <w:pStyle w:val="Heading1"/>
        <w:spacing w:after="160" w:before="320"/>
      </w:pPr>
      <w:r>
        <w:rPr>
          <w:rFonts w:ascii="Malgun Gothic" w:cs="Malgun Gothic" w:eastAsia="Malgun Gothic" w:hAnsi="Malgun Gothic"/>
          <w:b/>
          <w:bCs/>
          <w:sz w:val="30"/>
          <w:szCs w:val="30"/>
        </w:rPr>
        <w:t xml:space="preserve">1. 데이터/AI 활용 주제 및 목표 설정</w:t>
      </w:r>
    </w:p>
    <w:p>
      <w:pPr>
        <w:spacing w:after="160"/>
      </w:pPr>
      <w:r>
        <w:rPr>
          <w:rFonts w:ascii="Malgun Gothic" w:cs="Malgun Gothic" w:eastAsia="Malgun Gothic" w:hAnsi="Malgun Gothic"/>
          <w:b w:val="false"/>
          <w:bCs w:val="false"/>
          <w:i w:val="false"/>
          <w:iCs w:val="false"/>
          <w:sz w:val="21"/>
          <w:szCs w:val="21"/>
        </w:rPr>
        <w:t xml:space="preserve">해결하려는 경영문제: 보험 가입·청구 과정에서 소비자가 겪는 세 가지 비효율 — ① 특약·조건이 복잡해 상품 간 비교가 어렵고 상담 채널이 영업점·콜센터에 의존하는 "상품 비교·선택의 어려움", ② 서류 기반 수작업 심사로 처리가 지연되고 진행 상황을 고객이 실시간으로 알 수 없는 "청구·지급 절차의 불투명성", ③ 보험료 미납·만기 알림이 사후적으로만 제공되고 준비금 부족 등 보험사 리스크를 고객이 파악할 방법이 없는 "가입 후 사후관리 공백".</w:t>
      </w:r>
    </w:p>
    <w:p>
      <w:pPr>
        <w:spacing w:after="160"/>
      </w:pPr>
      <w:r>
        <w:rPr>
          <w:rFonts w:ascii="Malgun Gothic" w:cs="Malgun Gothic" w:eastAsia="Malgun Gothic" w:hAnsi="Malgun Gothic"/>
          <w:b w:val="false"/>
          <w:bCs w:val="false"/>
          <w:i w:val="false"/>
          <w:iCs w:val="false"/>
          <w:sz w:val="21"/>
          <w:szCs w:val="21"/>
        </w:rPr>
        <w:t xml:space="preserve">AI 도입이 중요한 이유: 상담·언더라이팅·청구 심사가 인력 의존적이라 표준화·신속성이 떨어지고, 신용정보 부족(씬파일러)·병력자는 기존 심사에서 소외되기 쉽다. 특히 손해보험업계가 2025~2026년 들어 지수형(파라메트릭) 보험을 잇달아 상용화하면서(삼성화재가 2025년 2월 업계 최초로 "출국 항공기 지연·결항 보상 특약"을 출시한 데 이어 현대해상·KB손해보험이 유사 상품을 출시, e-티켓 등록만으로 자동보상되는 수준까지 발전) 파라메트릭 보험 자체는 이미 시장에 알려진 개념이 되었다. 그러나 이들 상품도 모두 "보험사 시스템이 공공데이터를 확인해 지급을 승인"하는 중앙집중형 구조라는 공통점이 있다 — 사람의 심사 개입이 전혀 없이 스마트컨트랙트가 조건 충족 시 즉시·자동으로 지급하는 구조는 국내에서 아직 상용화되지 않았고, 이것이 본 프로젝트의 핵심 차별화 지점이다.</w:t>
      </w:r>
    </w:p>
    <w:p>
      <w:pPr>
        <w:spacing w:after="160"/>
      </w:pPr>
      <w:r>
        <w:rPr>
          <w:rFonts w:ascii="Malgun Gothic" w:cs="Malgun Gothic" w:eastAsia="Malgun Gothic" w:hAnsi="Malgun Gothic"/>
          <w:b w:val="false"/>
          <w:bCs w:val="false"/>
          <w:i w:val="false"/>
          <w:iCs w:val="false"/>
          <w:sz w:val="21"/>
          <w:szCs w:val="21"/>
        </w:rPr>
        <w:t xml:space="preserve">AI로 대체·보완·자동화하려는 업무: LLM 기반 AI Agent가 상담·상품추천과 18종 언더라이팅 심사를 자율 수행하고, 블록체인 스마트컨트랙트가 청약·납입·청구·지급·준비금 관리를 자동화하며, 가입 이후에는 온체인 조회 도구로 계약·납입·청구·만기 현황까지 챗봇이 실시간으로 응답한다.</w:t>
      </w:r>
    </w:p>
    <w:p>
      <w:pPr>
        <w:pStyle w:val="Heading1"/>
        <w:spacing w:after="160" w:before="320"/>
      </w:pPr>
      <w:r>
        <w:rPr>
          <w:rFonts w:ascii="Malgun Gothic" w:cs="Malgun Gothic" w:eastAsia="Malgun Gothic" w:hAnsi="Malgun Gothic"/>
          <w:b/>
          <w:bCs/>
          <w:sz w:val="30"/>
          <w:szCs w:val="30"/>
        </w:rPr>
        <w:t xml:space="preserve">2. 데이터 및 AI 자원 수집</w:t>
      </w:r>
    </w:p>
    <w:p>
      <w:pPr>
        <w:pStyle w:val="Heading2"/>
        <w:spacing w:after="120" w:before="220"/>
      </w:pPr>
      <w:r>
        <w:rPr>
          <w:rFonts w:ascii="Malgun Gothic" w:cs="Malgun Gothic" w:eastAsia="Malgun Gothic" w:hAnsi="Malgun Gothic"/>
          <w:b/>
          <w:bCs/>
          <w:sz w:val="25"/>
          <w:szCs w:val="25"/>
        </w:rPr>
        <w:t xml:space="preserve">2-1. AI 모델·솔루션</w:t>
      </w:r>
    </w:p>
    <w:p>
      <w:pPr>
        <w:spacing w:after="160"/>
      </w:pPr>
      <w:r>
        <w:rPr>
          <w:rFonts w:ascii="Malgun Gothic" w:cs="Malgun Gothic" w:eastAsia="Malgun Gothic" w:hAnsi="Malgun Gothic"/>
          <w:b w:val="false"/>
          <w:bCs w:val="false"/>
          <w:i w:val="false"/>
          <w:iCs w:val="false"/>
          <w:sz w:val="21"/>
          <w:szCs w:val="21"/>
        </w:rPr>
        <w:t xml:space="preserve">자체 파인튜닝 대신 OpenAI LLM API를 tool-calling 방식으로 활용(외부 솔루션 도입)하고, 보험다모아 실시간 공시·ChromaDB RAG 지식베이스·실시간 웹검색으로 근거를 보강한다. 확보 방법으로는 청구·청약 AI 검토에 온체인 청구 이력·계약 정보를 프롬프트 컨텍스트로 추가 활용하며, 실시간 조회는 Python에 web3 같은 새 의존성을 추가하지 않고 이미 구축된 ethers.js 스택을 서브프로세스로 재사용해 지갑 주소 기준 데이터를 가져온다.</w:t>
      </w:r>
    </w:p>
    <w:p>
      <w:pPr>
        <w:spacing w:after="160"/>
      </w:pPr>
      <w:r>
        <w:rPr>
          <w:rFonts w:ascii="Malgun Gothic" w:cs="Malgun Gothic" w:eastAsia="Malgun Gothic" w:hAnsi="Malgun Gothic"/>
          <w:b w:val="false"/>
          <w:bCs w:val="false"/>
          <w:i w:val="false"/>
          <w:iCs w:val="false"/>
          <w:sz w:val="21"/>
          <w:szCs w:val="21"/>
        </w:rPr>
        <w:t xml:space="preserve">추가 검토 중인 AI 자원 — 차세대 판단 AI(Jev): 2026년 9월 TypeSafe AI(샌프란시스코, InstructGPT 공저자 창업)가 공개한 Jev는 텍스트 대신 확률·신뢰도가 붙은 타입화된 값(Choice/Score/Noul)을 반환하는 "System One" 모델이다. 현재 언더라이팅 서브에이전트(18종 assess_* 도구)는 LLM 자유텍스트 판단에 의존하고 있어 판단 정확도를 실측할 개발/검증셋이나 신뢰도 기준이 없는데, Jev는 "승인/보류/거절"(Choice)·"위험점수"(Score) 같은 심사 판단 지점에만 적용해 GPT 대비 100배 이상 저렴·고속이면서 신뢰도가 기본 내장되는 하이브리드 구조를 가능하게 한다. 단, API가 공개된 지 얼마 안 된 신규 서비스라 씬파일러 신용보완 심사 등 1~2개 판단 지점만 시범 전환해 GPT 대비 정확도·비용을 비교하는 PoC를 먼저 진행할 계획이다.</w:t>
      </w:r>
    </w:p>
    <w:p>
      <w:pPr>
        <w:pStyle w:val="Heading2"/>
        <w:spacing w:after="120" w:before="220"/>
      </w:pPr>
      <w:r>
        <w:rPr>
          <w:rFonts w:ascii="Malgun Gothic" w:cs="Malgun Gothic" w:eastAsia="Malgun Gothic" w:hAnsi="Malgun Gothic"/>
          <w:b/>
          <w:bCs/>
          <w:sz w:val="25"/>
          <w:szCs w:val="25"/>
        </w:rPr>
        <w:t xml:space="preserve">2-2. 리스크 — 편향·환각·개인정보·AI 거버넌스</w:t>
      </w:r>
    </w:p>
    <w:p>
      <w:pPr>
        <w:pStyle w:val="ListParagraph"/>
        <w:numPr>
          <w:ilvl w:val="0"/>
          <w:numId w:val="1"/>
        </w:numPr>
        <w:spacing w:after="90"/>
      </w:pPr>
      <w:r>
        <w:rPr>
          <w:rFonts w:ascii="Malgun Gothic" w:cs="Malgun Gothic" w:eastAsia="Malgun Gothic" w:hAnsi="Malgun Gothic"/>
          <w:sz w:val="21"/>
          <w:szCs w:val="21"/>
        </w:rPr>
        <w:t xml:space="preserve">건강정보 등 민감정보의 외부 API 전송 우려 → AI 판단은 항상 참고용(어드바이저)으로 제한, 프롬프트 인젝션 방어·로컬 LLM 폴백 검토로 완화</w:t>
      </w:r>
    </w:p>
    <w:p>
      <w:pPr>
        <w:pStyle w:val="ListParagraph"/>
        <w:numPr>
          <w:ilvl w:val="0"/>
          <w:numId w:val="1"/>
        </w:numPr>
        <w:spacing w:after="90"/>
      </w:pPr>
      <w:r>
        <w:rPr>
          <w:rFonts w:ascii="Malgun Gothic" w:cs="Malgun Gothic" w:eastAsia="Malgun Gothic" w:hAnsi="Malgun Gothic"/>
          <w:sz w:val="21"/>
          <w:szCs w:val="21"/>
        </w:rPr>
        <w:t xml:space="preserve">환각(hallucination) 리스크는 "자율 실행 Agent"·"참고용 어드바이저(Human-in-the-Loop)"·"AI 미관여 규칙 기반 자동화" 삼원 구조로 용도를 나눠 통제 — 예: 고액 청구=어드바이저 의견+사람 승인, 소액 청구·자동납부·파라메트릭보험=규칙 기반 자동화</w:t>
      </w:r>
    </w:p>
    <w:p>
      <w:pPr>
        <w:pStyle w:val="ListParagraph"/>
        <w:numPr>
          <w:ilvl w:val="0"/>
          <w:numId w:val="1"/>
        </w:numPr>
        <w:spacing w:after="90"/>
      </w:pPr>
      <w:r>
        <w:rPr>
          <w:rFonts w:ascii="Malgun Gothic" w:cs="Malgun Gothic" w:eastAsia="Malgun Gothic" w:hAnsi="Malgun Gothic"/>
          <w:sz w:val="21"/>
          <w:szCs w:val="21"/>
        </w:rPr>
        <w:t xml:space="preserve">신규 AI 모델(Jev) 도입 시에는 실제 고객 건강·신용 데이터를 보내기 전 데이터 보관·처리 정책을 먼저 검토</w:t>
      </w:r>
    </w:p>
    <w:p>
      <w:pPr>
        <w:pStyle w:val="Heading1"/>
        <w:spacing w:after="160" w:before="320"/>
      </w:pPr>
      <w:r>
        <w:rPr>
          <w:rFonts w:ascii="Malgun Gothic" w:cs="Malgun Gothic" w:eastAsia="Malgun Gothic" w:hAnsi="Malgun Gothic"/>
          <w:b/>
          <w:bCs/>
          <w:sz w:val="30"/>
          <w:szCs w:val="30"/>
        </w:rPr>
        <w:t xml:space="preserve">3. 데이터 탐험 / AI 적용 가능성 탐색</w:t>
      </w:r>
    </w:p>
    <w:p>
      <w:pPr>
        <w:spacing w:after="160"/>
      </w:pPr>
      <w:r>
        <w:rPr>
          <w:rFonts w:ascii="Malgun Gothic" w:cs="Malgun Gothic" w:eastAsia="Malgun Gothic" w:hAnsi="Malgun Gothic"/>
          <w:b w:val="false"/>
          <w:bCs w:val="false"/>
          <w:i w:val="false"/>
          <w:iCs w:val="false"/>
          <w:sz w:val="21"/>
          <w:szCs w:val="21"/>
        </w:rPr>
        <w:t xml:space="preserve">Hardhat 로컬 테스트넷에 실제 스마트컨트랙트(청약·보험료·청구·준비금·파라메트릭·재보험풀·대체투자)를 배포해 PoC를 진행했고, 167개 이상의 단위테스트로 검증했다.</w:t>
      </w:r>
    </w:p>
    <w:p>
      <w:pPr>
        <w:pStyle w:val="ListParagraph"/>
        <w:numPr>
          <w:ilvl w:val="0"/>
          <w:numId w:val="1"/>
        </w:numPr>
        <w:spacing w:after="90"/>
      </w:pPr>
      <w:r>
        <w:rPr>
          <w:rFonts w:ascii="Malgun Gothic" w:cs="Malgun Gothic" w:eastAsia="Malgun Gothic" w:hAnsi="Malgun Gothic"/>
          <w:sz w:val="21"/>
          <w:szCs w:val="21"/>
        </w:rPr>
        <w:t xml:space="preserve">언더라이팅 AI Agent가 암 완치자 심사·유병자 요율·씬파일러 신용보완 등 18개 시나리오를 자율 수행함을 확인</w:t>
      </w:r>
    </w:p>
    <w:p>
      <w:pPr>
        <w:pStyle w:val="ListParagraph"/>
        <w:numPr>
          <w:ilvl w:val="0"/>
          <w:numId w:val="1"/>
        </w:numPr>
        <w:spacing w:after="90"/>
      </w:pPr>
      <w:r>
        <w:rPr>
          <w:rFonts w:ascii="Malgun Gothic" w:cs="Malgun Gothic" w:eastAsia="Malgun Gothic" w:hAnsi="Malgun Gothic"/>
          <w:sz w:val="21"/>
          <w:szCs w:val="21"/>
        </w:rPr>
        <w:t xml:space="preserve">청구 오라클은 정형화된 소액 청구를 즉시 자동 처리하고, 보장한도 20% 초과 고액 청구는 AI 어드바이저 의견과 함께 사람 심사로 전환하는 패턴을 확인</w:t>
      </w:r>
    </w:p>
    <w:p>
      <w:pPr>
        <w:pStyle w:val="ListParagraph"/>
        <w:numPr>
          <w:ilvl w:val="0"/>
          <w:numId w:val="1"/>
        </w:numPr>
        <w:spacing w:after="90"/>
      </w:pPr>
      <w:r>
        <w:rPr>
          <w:rFonts w:ascii="Malgun Gothic" w:cs="Malgun Gothic" w:eastAsia="Malgun Gothic" w:hAnsi="Malgun Gothic"/>
          <w:sz w:val="21"/>
          <w:szCs w:val="21"/>
        </w:rPr>
        <w:t xml:space="preserve">온체인 조회 도구(get_blockchain_dental_status)는 지갑 주소 미등록·형식 오류·노드 미가동 각 상황에서 항상 유효한 JSON 오류 메시지를 반환함을 확인</w:t>
      </w:r>
    </w:p>
    <w:p>
      <w:pPr>
        <w:pStyle w:val="ListParagraph"/>
        <w:numPr>
          <w:ilvl w:val="0"/>
          <w:numId w:val="1"/>
        </w:numPr>
        <w:spacing w:after="90"/>
      </w:pPr>
      <w:r>
        <w:rPr>
          <w:rFonts w:ascii="Malgun Gothic" w:cs="Malgun Gothic" w:eastAsia="Malgun Gothic" w:hAnsi="Malgun Gothic"/>
          <w:sz w:val="21"/>
          <w:szCs w:val="21"/>
        </w:rPr>
        <w:t xml:space="preserve">한계: 컨트랙트 불변성으로 인한 로직 수정 어려움, 지갑(메타마스크) 온보딩이 일반 고객에게 진입장벽 — 이 두 한계를 보완하기 위해 ④ 가스리스(경량 Relayer) 온보딩(고객이 지갑·가스비 없이 챗봇 대화만으로 가입)과 프록시 패턴 검토를 추가 구현/검토함</w:t>
      </w:r>
    </w:p>
    <w:p>
      <w:pPr>
        <w:pStyle w:val="Heading1"/>
        <w:spacing w:after="160" w:before="320"/>
      </w:pPr>
      <w:r>
        <w:rPr>
          <w:rFonts w:ascii="Malgun Gothic" w:cs="Malgun Gothic" w:eastAsia="Malgun Gothic" w:hAnsi="Malgun Gothic"/>
          <w:b/>
          <w:bCs/>
          <w:sz w:val="30"/>
          <w:szCs w:val="30"/>
        </w:rPr>
        <w:t xml:space="preserve">4. 데이터 분석 / AI 모델링</w:t>
      </w:r>
    </w:p>
    <w:p>
      <w:pPr>
        <w:spacing w:after="160"/>
      </w:pPr>
      <w:r>
        <w:rPr>
          <w:rFonts w:ascii="Malgun Gothic" w:cs="Malgun Gothic" w:eastAsia="Malgun Gothic" w:hAnsi="Malgun Gothic"/>
          <w:b w:val="false"/>
          <w:bCs w:val="false"/>
          <w:i w:val="false"/>
          <w:iCs w:val="false"/>
          <w:sz w:val="21"/>
          <w:szCs w:val="21"/>
        </w:rPr>
        <w:t xml:space="preserve">활용 AI: LLM(OpenAI API) 단일 모델로 상담 오케스트레이터·언더라이팅/신용점수 서브에이전트·청구·청약 어드바이저·증권 요약까지 일관 구성했다. 모델 선정 측면에서는 정밀 심사가 필요한 언더라이팅 18종을 별도 tool-calling 서브에이전트로 분리(메인 도구 27→11개로 축소)해 응답 신뢰성·유지보수성을 높였다.</w:t>
      </w:r>
    </w:p>
    <w:p>
      <w:pPr>
        <w:spacing w:after="160"/>
      </w:pPr>
      <w:r>
        <w:rPr>
          <w:rFonts w:ascii="Malgun Gothic" w:cs="Malgun Gothic" w:eastAsia="Malgun Gothic" w:hAnsi="Malgun Gothic"/>
          <w:b w:val="false"/>
          <w:bCs w:val="false"/>
          <w:i w:val="false"/>
          <w:iCs w:val="false"/>
          <w:sz w:val="21"/>
          <w:szCs w:val="21"/>
        </w:rPr>
        <w:t xml:space="preserve">검증은 각 서비스 로직을 함수 단위로 추출해 모의(mock) 데이터로 테스트하고, 비용은 단발성 어드바이저 호출(500 토큰 이하)로 최소화했으며, 리스크는 AI 산출물을 최종 의사결정에 직접 반영하지 않는 구조로 완화했다. 추가로 검토 중인 Jev PoC는 동일한 원칙(소규모 시범 적용 후 성능·비용·리스크 비교)을 따를 예정이다.</w:t>
      </w:r>
    </w:p>
    <w:p>
      <w:pPr>
        <w:pStyle w:val="Heading1"/>
        <w:spacing w:after="160" w:before="320"/>
      </w:pPr>
      <w:r>
        <w:rPr>
          <w:rFonts w:ascii="Malgun Gothic" w:cs="Malgun Gothic" w:eastAsia="Malgun Gothic" w:hAnsi="Malgun Gothic"/>
          <w:b/>
          <w:bCs/>
          <w:sz w:val="30"/>
          <w:szCs w:val="30"/>
        </w:rPr>
        <w:t xml:space="preserve">5. 결과를 통한 경영상의 시사점</w:t>
      </w:r>
    </w:p>
    <w:p>
      <w:pPr>
        <w:pStyle w:val="Heading2"/>
        <w:spacing w:after="120" w:before="220"/>
      </w:pPr>
      <w:r>
        <w:rPr>
          <w:rFonts w:ascii="Malgun Gothic" w:cs="Malgun Gothic" w:eastAsia="Malgun Gothic" w:hAnsi="Malgun Gothic"/>
          <w:b/>
          <w:bCs/>
          <w:sz w:val="25"/>
          <w:szCs w:val="25"/>
        </w:rPr>
        <w:t xml:space="preserve">5-1. 기대 성과</w:t>
      </w:r>
    </w:p>
    <w:p>
      <w:pPr>
        <w:pStyle w:val="ListParagraph"/>
        <w:numPr>
          <w:ilvl w:val="0"/>
          <w:numId w:val="1"/>
        </w:numPr>
        <w:spacing w:after="90"/>
      </w:pPr>
      <w:r>
        <w:rPr>
          <w:rFonts w:ascii="Malgun Gothic" w:cs="Malgun Gothic" w:eastAsia="Malgun Gothic" w:hAnsi="Malgun Gothic"/>
          <w:sz w:val="21"/>
          <w:szCs w:val="21"/>
        </w:rPr>
        <w:t xml:space="preserve">상품 추천 표준화, 청구 처리 시간 단축, 준비금 부족 사전 경보를 통한 지급 리스크 관리, 가입 후 셀프서비스 조회로 콜센터 문의 부담 경감</w:t>
      </w:r>
    </w:p>
    <w:p>
      <w:pPr>
        <w:pStyle w:val="ListParagraph"/>
        <w:numPr>
          <w:ilvl w:val="0"/>
          <w:numId w:val="1"/>
        </w:numPr>
        <w:spacing w:after="90"/>
      </w:pPr>
      <w:r>
        <w:rPr>
          <w:rFonts w:ascii="Malgun Gothic" w:cs="Malgun Gothic" w:eastAsia="Malgun Gothic" w:hAnsi="Malgun Gothic"/>
          <w:sz w:val="21"/>
          <w:szCs w:val="21"/>
        </w:rPr>
        <w:t xml:space="preserve">관리자 대시보드에 손해율·사업비율·합산비율(보험업 표준 수익성 지표)을 실시간 노출 — 투자자·파트너 대상 수익성 증빙 자료로 즉시 활용 가능</w:t>
      </w:r>
    </w:p>
    <w:p>
      <w:pPr>
        <w:pStyle w:val="Heading2"/>
        <w:spacing w:after="120" w:before="220"/>
      </w:pPr>
      <w:r>
        <w:rPr>
          <w:rFonts w:ascii="Malgun Gothic" w:cs="Malgun Gothic" w:eastAsia="Malgun Gothic" w:hAnsi="Malgun Gothic"/>
          <w:b/>
          <w:bCs/>
          <w:sz w:val="25"/>
          <w:szCs w:val="25"/>
        </w:rPr>
        <w:t xml:space="preserve">5-2. 사업 확장 — 11개 신규 상품·고도화 기능</w:t>
      </w:r>
    </w:p>
    <w:p>
      <w:pPr>
        <w:spacing w:after="160"/>
      </w:pPr>
      <w:r>
        <w:rPr>
          <w:rFonts w:ascii="Malgun Gothic" w:cs="Malgun Gothic" w:eastAsia="Malgun Gothic" w:hAnsi="Malgun Gothic"/>
          <w:b w:val="false"/>
          <w:bCs w:val="false"/>
          <w:i w:val="false"/>
          <w:iCs w:val="false"/>
          <w:sz w:val="21"/>
          <w:szCs w:val="21"/>
        </w:rPr>
        <w:t xml:space="preserve">기존 인프라(오라클·언더라이팅 서브에이전트·준비금 계좌)를 재사용해 개발 비용을 최소화하면서, 서로 다른 차별점과 수익모델을 갖는 11개 확장 방향을 실제로 구현·검증했다.</w:t>
      </w:r>
    </w:p>
    <w:p>
      <w:pPr>
        <w:pStyle w:val="ListParagraph"/>
        <w:numPr>
          <w:ilvl w:val="0"/>
          <w:numId w:val="1"/>
        </w:numPr>
        <w:spacing w:after="90"/>
      </w:pPr>
      <w:r>
        <w:rPr>
          <w:rFonts w:ascii="Malgun Gothic" w:cs="Malgun Gothic" w:eastAsia="Malgun Gothic" w:hAnsi="Malgun Gothic"/>
          <w:sz w:val="21"/>
          <w:szCs w:val="21"/>
        </w:rPr>
        <w:t xml:space="preserve">A. 파라메트릭(자동집행) 보험 — 청구 서류·심사 절차 없이 오라클이 조건(지연시간·폭염특보 발령일수) 충족 여부만 보고 즉시 자동지급. 폭염특보 상품은 Open-Meteo 실제 기상데이터로 관측값을 산출(항공지연 상품은 경쟁사 상용화로 레드오션이라 기후리스크 쪽이 차별화 지점)</w:t>
      </w:r>
    </w:p>
    <w:p>
      <w:pPr>
        <w:pStyle w:val="ListParagraph"/>
        <w:numPr>
          <w:ilvl w:val="0"/>
          <w:numId w:val="1"/>
        </w:numPr>
        <w:spacing w:after="90"/>
      </w:pPr>
      <w:r>
        <w:rPr>
          <w:rFonts w:ascii="Malgun Gothic" w:cs="Malgun Gothic" w:eastAsia="Malgun Gothic" w:hAnsi="Malgun Gothic"/>
          <w:sz w:val="21"/>
          <w:szCs w:val="21"/>
        </w:rPr>
        <w:t xml:space="preserve">B. 씬파일러 신용보완 유연납입 — 신용점수·금융이력이 없는 고객도 청약 시 체크박스 하나로 신청, 연체 시 해지환급금 한도 내 약관대출 자동대환</w:t>
      </w:r>
    </w:p>
    <w:p>
      <w:pPr>
        <w:pStyle w:val="ListParagraph"/>
        <w:numPr>
          <w:ilvl w:val="0"/>
          <w:numId w:val="1"/>
        </w:numPr>
        <w:spacing w:after="90"/>
      </w:pPr>
      <w:r>
        <w:rPr>
          <w:rFonts w:ascii="Malgun Gothic" w:cs="Malgun Gothic" w:eastAsia="Malgun Gothic" w:hAnsi="Malgun Gothic"/>
          <w:sz w:val="21"/>
          <w:szCs w:val="21"/>
        </w:rPr>
        <w:t xml:space="preserve">C. 웰니스 연동 동적 보험료 — 건강검진 결과를 알려주면 위험도 개선을 자동 판정해 보험료를 온체인에서 실제로 ±20% 할인 조정</w:t>
      </w:r>
    </w:p>
    <w:p>
      <w:pPr>
        <w:pStyle w:val="ListParagraph"/>
        <w:numPr>
          <w:ilvl w:val="0"/>
          <w:numId w:val="1"/>
        </w:numPr>
        <w:spacing w:after="90"/>
      </w:pPr>
      <w:r>
        <w:rPr>
          <w:rFonts w:ascii="Malgun Gothic" w:cs="Malgun Gothic" w:eastAsia="Malgun Gothic" w:hAnsi="Malgun Gothic"/>
          <w:sz w:val="21"/>
          <w:szCs w:val="21"/>
        </w:rPr>
        <w:t xml:space="preserve">D. 재보험풀(외부 유동성 공급) — 지분가치가 고정 APR이 아니라 실제 보험료 유입(ceding)에 연동되는 진짜 리스크 공유 구조</w:t>
      </w:r>
    </w:p>
    <w:p>
      <w:pPr>
        <w:pStyle w:val="ListParagraph"/>
        <w:numPr>
          <w:ilvl w:val="0"/>
          <w:numId w:val="1"/>
        </w:numPr>
        <w:spacing w:after="90"/>
      </w:pPr>
      <w:r>
        <w:rPr>
          <w:rFonts w:ascii="Malgun Gothic" w:cs="Malgun Gothic" w:eastAsia="Malgun Gothic" w:hAnsi="Malgun Gothic"/>
          <w:sz w:val="21"/>
          <w:szCs w:val="21"/>
        </w:rPr>
        <w:t xml:space="preserve">E. B2B 파트너 API — 소형 GA·핀테크가 API 키로 온체인 데이터를 직접 조회, 월별 사용량 기반 정산 리포트·CSV 다운로드까지 구현</w:t>
      </w:r>
    </w:p>
    <w:p>
      <w:pPr>
        <w:pStyle w:val="ListParagraph"/>
        <w:numPr>
          <w:ilvl w:val="0"/>
          <w:numId w:val="1"/>
        </w:numPr>
        <w:spacing w:after="90"/>
      </w:pPr>
      <w:r>
        <w:rPr>
          <w:rFonts w:ascii="Malgun Gothic" w:cs="Malgun Gothic" w:eastAsia="Malgun Gothic" w:hAnsi="Malgun Gothic"/>
          <w:sz w:val="21"/>
          <w:szCs w:val="21"/>
        </w:rPr>
        <w:t xml:space="preserve">F. 수익성 지표 대시보드 — 손해율·사업비율·합산비율 실시간 노출</w:t>
      </w:r>
    </w:p>
    <w:p>
      <w:pPr>
        <w:pStyle w:val="ListParagraph"/>
        <w:numPr>
          <w:ilvl w:val="0"/>
          <w:numId w:val="1"/>
        </w:numPr>
        <w:spacing w:after="90"/>
      </w:pPr>
      <w:r>
        <w:rPr>
          <w:rFonts w:ascii="Malgun Gothic" w:cs="Malgun Gothic" w:eastAsia="Malgun Gothic" w:hAnsi="Malgun Gothic"/>
          <w:sz w:val="21"/>
          <w:szCs w:val="21"/>
        </w:rPr>
        <w:t xml:space="preserve">G. 재보험풀 청구 백스톱 1클릭화 — 인출→재입금 2단계 수동 브릿지를 한 번의 클릭으로 연결(온체인 신뢰 구조는 변경 없음)</w:t>
      </w:r>
    </w:p>
    <w:p>
      <w:pPr>
        <w:pStyle w:val="ListParagraph"/>
        <w:numPr>
          <w:ilvl w:val="0"/>
          <w:numId w:val="1"/>
        </w:numPr>
        <w:spacing w:after="90"/>
      </w:pPr>
      <w:r>
        <w:rPr>
          <w:rFonts w:ascii="Malgun Gothic" w:cs="Malgun Gothic" w:eastAsia="Malgun Gothic" w:hAnsi="Malgun Gothic"/>
          <w:sz w:val="21"/>
          <w:szCs w:val="21"/>
        </w:rPr>
        <w:t xml:space="preserve">H. 리스크연동형 대체투자 펀드 — 기존 고정APR 펀드는 유지한 채, 재보험풀의 실제 성과를 따라가는 신규 펀드 유형 추가</w:t>
      </w:r>
    </w:p>
    <w:p>
      <w:pPr>
        <w:pStyle w:val="ListParagraph"/>
        <w:numPr>
          <w:ilvl w:val="0"/>
          <w:numId w:val="1"/>
        </w:numPr>
        <w:spacing w:after="90"/>
      </w:pPr>
      <w:r>
        <w:rPr>
          <w:rFonts w:ascii="Malgun Gothic" w:cs="Malgun Gothic" w:eastAsia="Malgun Gothic" w:hAnsi="Malgun Gothic"/>
          <w:sz w:val="21"/>
          <w:szCs w:val="21"/>
        </w:rPr>
        <w:t xml:space="preserve">I. 가스리스(경량 Relayer) 온보딩 — 고객이 지갑·가스비 부담 없이 챗봇 대화만으로 가입 완료</w:t>
      </w:r>
    </w:p>
    <w:p>
      <w:pPr>
        <w:pStyle w:val="ListParagraph"/>
        <w:numPr>
          <w:ilvl w:val="0"/>
          <w:numId w:val="1"/>
        </w:numPr>
        <w:spacing w:after="90"/>
      </w:pPr>
      <w:r>
        <w:rPr>
          <w:rFonts w:ascii="Malgun Gothic" w:cs="Malgun Gothic" w:eastAsia="Malgun Gothic" w:hAnsi="Malgun Gothic"/>
          <w:sz w:val="21"/>
          <w:szCs w:val="21"/>
        </w:rPr>
        <w:t xml:space="preserve">J. 차세대 판단 AI(Jev) 도입 검토 — 언더라이팅 판단 지점의 신뢰도·비용 구조 개선 PoC 설계</w:t>
      </w:r>
    </w:p>
    <w:p>
      <w:pPr>
        <w:pStyle w:val="ListParagraph"/>
        <w:numPr>
          <w:ilvl w:val="0"/>
          <w:numId w:val="1"/>
        </w:numPr>
        <w:spacing w:after="90"/>
      </w:pPr>
      <w:r>
        <w:rPr>
          <w:rFonts w:ascii="Malgun Gothic" w:cs="Malgun Gothic" w:eastAsia="Malgun Gothic" w:hAnsi="Malgun Gothic"/>
          <w:sz w:val="21"/>
          <w:szCs w:val="21"/>
        </w:rPr>
        <w:t xml:space="preserve">K. 가상자산 정보 연동 검토 — 업비트 등 거래소의 공개 시세 API(인증 불필요)로 "참고 정보" 패널을 제공하고, 실제 투자는 제휴 링크로 연결해 소액 리퍼럴 수수료를 받는 저리스크 모델을 후보로 검토 중(자금 이동이 없어 VASP 등록 이슈 없음)</w:t>
      </w:r>
    </w:p>
    <w:p>
      <w:pPr>
        <w:pStyle w:val="Heading2"/>
        <w:spacing w:after="120" w:before="220"/>
      </w:pPr>
      <w:r>
        <w:rPr>
          <w:rFonts w:ascii="Malgun Gothic" w:cs="Malgun Gothic" w:eastAsia="Malgun Gothic" w:hAnsi="Malgun Gothic"/>
          <w:b/>
          <w:bCs/>
          <w:sz w:val="25"/>
          <w:szCs w:val="25"/>
        </w:rPr>
        <w:t xml:space="preserve">5-3. 수익 구조 — 4가지 유형</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50"/>
      </w:tblGrid>
      <w:tr>
        <w:tc>
          <w:tcPr>
            <w:tcW w:type="dxa" w:w="22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유형</w:t>
            </w:r>
          </w:p>
        </w:tc>
        <w:tc>
          <w:tcPr>
            <w:tcW w:type="dxa" w:w="52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구체 항목</w:t>
            </w:r>
          </w:p>
        </w:tc>
        <w:tc>
          <w:tcPr>
            <w:tcW w:type="dxa" w:w="195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비고</w:t>
            </w:r>
          </w:p>
        </w:tc>
      </w:tr>
      <w:tr>
        <w:tc>
          <w:tcPr>
            <w:tcW w:type="dxa" w:w="2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1회성 수익</w:t>
            </w:r>
          </w:p>
        </w:tc>
        <w:tc>
          <w:tcPr>
            <w:tcW w:type="dxa" w:w="5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보험사 대상 초기 구축비, B2B 파트너 API 온보딩 수수료</w:t>
            </w:r>
          </w:p>
        </w:tc>
        <w:tc>
          <w:tcPr>
            <w:tcW w:type="dxa" w:w="19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초기 현금흐름</w:t>
            </w:r>
          </w:p>
        </w:tc>
      </w:tr>
      <w:tr>
        <w:tc>
          <w:tcPr>
            <w:tcW w:type="dxa" w:w="2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연속성 수익</w:t>
            </w:r>
          </w:p>
        </w:tc>
        <w:tc>
          <w:tcPr>
            <w:tcW w:type="dxa" w:w="5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B2B API 월 정산(구현 완료), 기술 라이선스 연간 유지보수료, 재보험풀 운용자산(AUM) 수수료</w:t>
            </w:r>
          </w:p>
        </w:tc>
        <w:tc>
          <w:tcPr>
            <w:tcW w:type="dxa" w:w="19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전체 매출의 기반</w:t>
            </w:r>
          </w:p>
        </w:tc>
      </w:tr>
      <w:tr>
        <w:tc>
          <w:tcPr>
            <w:tcW w:type="dxa" w:w="2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비용절감→수익전환</w:t>
            </w:r>
          </w:p>
        </w:tc>
        <w:tc>
          <w:tcPr>
            <w:tcW w:type="dxa" w:w="5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자동지급·자동대환으로 줄어든 보험사 심사·인건비의 일부를 성과수수료로 수취</w:t>
            </w:r>
          </w:p>
        </w:tc>
        <w:tc>
          <w:tcPr>
            <w:tcW w:type="dxa" w:w="19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Gain-sharing</w:t>
            </w:r>
          </w:p>
        </w:tc>
      </w:tr>
      <w:tr>
        <w:tc>
          <w:tcPr>
            <w:tcW w:type="dxa" w:w="2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수수료 절감(차별화)</w:t>
            </w:r>
          </w:p>
        </w:tc>
        <w:tc>
          <w:tcPr>
            <w:tcW w:type="dxa" w:w="52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전통 재보험 중개 수수료를 온체인 직접 연결로 낮추고 절감분을 원수사·투자자와 공유</w:t>
            </w:r>
          </w:p>
        </w:tc>
        <w:tc>
          <w:tcPr>
            <w:tcW w:type="dxa" w:w="19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경쟁우위</w:t>
            </w:r>
          </w:p>
        </w:tc>
      </w:tr>
    </w:tbl>
    <w:p>
      <w:pPr>
        <w:pStyle w:val="Heading2"/>
        <w:spacing w:after="120" w:before="220"/>
      </w:pPr>
      <w:r>
        <w:rPr>
          <w:rFonts w:ascii="Malgun Gothic" w:cs="Malgun Gothic" w:eastAsia="Malgun Gothic" w:hAnsi="Malgun Gothic"/>
          <w:b/>
          <w:bCs/>
          <w:sz w:val="25"/>
          <w:szCs w:val="25"/>
        </w:rPr>
        <w:t xml:space="preserve">5-4. 경영상의 시사점</w:t>
      </w:r>
    </w:p>
    <w:p>
      <w:pPr>
        <w:spacing w:after="160"/>
      </w:pPr>
      <w:r>
        <w:rPr>
          <w:rFonts w:ascii="Malgun Gothic" w:cs="Malgun Gothic" w:eastAsia="Malgun Gothic" w:hAnsi="Malgun Gothic"/>
          <w:b w:val="false"/>
          <w:bCs w:val="false"/>
          <w:i w:val="false"/>
          <w:iCs w:val="false"/>
          <w:sz w:val="21"/>
          <w:szCs w:val="21"/>
        </w:rPr>
        <w:t xml:space="preserve">보험료 납입·청구 지급을 스테이블코인(USDC·원화)으로 처리하는 설계는 디지털자산 기본법 추진, 한국은행 예금토큰 파일럿, 카드사 스테이블코인 결제·정산 기술검증 등 실제 금융 인프라 흐름과 일치한다 — 이미 검증되고 있는 결제망 위에서 서비스를 내재화할 수 있다.</w:t>
      </w:r>
    </w:p>
    <w:p>
      <w:pPr>
        <w:spacing w:after="160"/>
      </w:pPr>
      <w:r>
        <w:rPr>
          <w:rFonts w:ascii="Malgun Gothic" w:cs="Malgun Gothic" w:eastAsia="Malgun Gothic" w:hAnsi="Malgun Gothic"/>
          <w:b w:val="false"/>
          <w:bCs w:val="false"/>
          <w:i w:val="false"/>
          <w:iCs w:val="false"/>
          <w:sz w:val="21"/>
          <w:szCs w:val="21"/>
        </w:rPr>
        <w:t xml:space="preserve">조직·프로세스 측면에서는 AI를 '자율 실행(Agent)'·'참고용 권고(어드바이저, Human-in-the-Loop)'·'AI 미관여 규칙 기반 자동화'로 삼원화하는 거버넌스를 전사 표준으로 확장할 수 있고, 신용·병력으로 소외되던 고객까지 포용하는 언더라이팅이 신규 고객군 확보 기회로 연결된다.</w:t>
      </w:r>
    </w:p>
    <w:p>
      <w:pPr>
        <w:pStyle w:val="Heading2"/>
        <w:spacing w:after="120" w:before="220"/>
      </w:pPr>
      <w:r>
        <w:rPr>
          <w:rFonts w:ascii="Malgun Gothic" w:cs="Malgun Gothic" w:eastAsia="Malgun Gothic" w:hAnsi="Malgun Gothic"/>
          <w:b/>
          <w:bCs/>
          <w:sz w:val="25"/>
          <w:szCs w:val="25"/>
        </w:rPr>
        <w:t xml:space="preserve">5-5. 사업화 로드맵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700"/>
        <w:gridCol w:w="2650"/>
      </w:tblGrid>
      <w:tr>
        <w:tc>
          <w:tcPr>
            <w:tcW w:type="dxa" w:w="26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단계</w:t>
            </w:r>
          </w:p>
        </w:tc>
        <w:tc>
          <w:tcPr>
            <w:tcW w:type="dxa" w:w="14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기간</w:t>
            </w:r>
          </w:p>
        </w:tc>
        <w:tc>
          <w:tcPr>
            <w:tcW w:type="dxa" w:w="27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목표</w:t>
            </w:r>
          </w:p>
        </w:tc>
        <w:tc>
          <w:tcPr>
            <w:tcW w:type="dxa" w:w="265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핵심 활동</w:t>
            </w:r>
          </w:p>
        </w:tc>
      </w:tr>
      <w:tr>
        <w:tc>
          <w:tcPr>
            <w:tcW w:type="dxa" w:w="26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 파일럿 준비</w:t>
            </w:r>
          </w:p>
        </w:tc>
        <w:tc>
          <w:tcPr>
            <w:tcW w:type="dxa" w:w="14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0~3개월</w:t>
            </w:r>
          </w:p>
        </w:tc>
        <w:tc>
          <w:tcPr>
            <w:tcW w:type="dxa" w:w="2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사업계획 확정</w:t>
            </w:r>
          </w:p>
        </w:tc>
        <w:tc>
          <w:tcPr>
            <w:tcW w:type="dxa" w:w="2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법인/사업자등록, 디지털 금융기술 내재화 사업 지원서, 한국핀테크지원센터 무료 컨설팅</w:t>
            </w:r>
          </w:p>
        </w:tc>
      </w:tr>
      <w:tr>
        <w:tc>
          <w:tcPr>
            <w:tcW w:type="dxa" w:w="26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 컨소시엄 구축</w:t>
            </w:r>
          </w:p>
        </w:tc>
        <w:tc>
          <w:tcPr>
            <w:tcW w:type="dxa" w:w="14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3~9개월</w:t>
            </w:r>
          </w:p>
        </w:tc>
        <w:tc>
          <w:tcPr>
            <w:tcW w:type="dxa" w:w="2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손보사 1곳 PoC MOU</w:t>
            </w:r>
          </w:p>
        </w:tc>
        <w:tc>
          <w:tcPr>
            <w:tcW w:type="dxa" w:w="2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폭염특보 등 기후리스크 상품 중심 PoC, 혁신금융서비스 공동신청 검토</w:t>
            </w:r>
          </w:p>
        </w:tc>
      </w:tr>
      <w:tr>
        <w:tc>
          <w:tcPr>
            <w:tcW w:type="dxa" w:w="26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 규제샌드박스 실증</w:t>
            </w:r>
          </w:p>
        </w:tc>
        <w:tc>
          <w:tcPr>
            <w:tcW w:type="dxa" w:w="14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9~24개월</w:t>
            </w:r>
          </w:p>
        </w:tc>
        <w:tc>
          <w:tcPr>
            <w:tcW w:type="dxa" w:w="2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혁신금융서비스 지정(최대 2+2년 한시)</w:t>
            </w:r>
          </w:p>
        </w:tc>
        <w:tc>
          <w:tcPr>
            <w:tcW w:type="dxa" w:w="2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소규모 실사용자 실증, B2B API 유료 파트너 확보</w:t>
            </w:r>
          </w:p>
        </w:tc>
      </w:tr>
      <w:tr>
        <w:tc>
          <w:tcPr>
            <w:tcW w:type="dxa" w:w="26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4. 정식 라이선스 전환</w:t>
            </w:r>
          </w:p>
        </w:tc>
        <w:tc>
          <w:tcPr>
            <w:tcW w:type="dxa" w:w="14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24개월~</w:t>
            </w:r>
          </w:p>
        </w:tc>
        <w:tc>
          <w:tcPr>
            <w:tcW w:type="dxa" w:w="2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규제특례 만료 전 정식 전환</w:t>
            </w:r>
          </w:p>
        </w:tc>
        <w:tc>
          <w:tcPr>
            <w:tcW w:type="dxa" w:w="2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GA 등록 또는 보험사 정식 기술공급 계약</w:t>
            </w:r>
          </w:p>
        </w:tc>
      </w:tr>
    </w:tbl>
    <w:p>
      <w:pPr>
        <w:pStyle w:val="Heading2"/>
        <w:spacing w:after="120" w:before="220"/>
      </w:pPr>
      <w:r>
        <w:rPr>
          <w:rFonts w:ascii="Malgun Gothic" w:cs="Malgun Gothic" w:eastAsia="Malgun Gothic" w:hAnsi="Malgun Gothic"/>
          <w:b/>
          <w:bCs/>
          <w:sz w:val="25"/>
          <w:szCs w:val="25"/>
        </w:rPr>
        <w:t xml:space="preserve">5-6. 리스크 및 대응방안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0"/>
      </w:tblGrid>
      <w:tr>
        <w:tc>
          <w:tcPr>
            <w:tcW w:type="dxa" w:w="23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리스크</w:t>
            </w:r>
          </w:p>
        </w:tc>
        <w:tc>
          <w:tcPr>
            <w:tcW w:type="dxa" w:w="370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내용</w:t>
            </w:r>
          </w:p>
        </w:tc>
        <w:tc>
          <w:tcPr>
            <w:tcW w:type="dxa" w:w="3350"/>
            <w:shd w:fill="1F2A44" w:val="clear"/>
            <w:tcMar>
              <w:top w:type="dxa" w:w="80"/>
              <w:left w:type="dxa" w:w="100"/>
              <w:bottom w:type="dxa" w:w="80"/>
              <w:right w:type="dxa" w:w="100"/>
            </w:tcMar>
          </w:tcPr>
          <w:p>
            <w:r>
              <w:rPr>
                <w:rFonts w:ascii="Malgun Gothic" w:cs="Malgun Gothic" w:eastAsia="Malgun Gothic" w:hAnsi="Malgun Gothic"/>
                <w:b/>
                <w:bCs/>
                <w:color w:val="FFFFFF"/>
                <w:sz w:val="19"/>
                <w:szCs w:val="19"/>
              </w:rPr>
              <w:t xml:space="preserve">대응방안</w:t>
            </w:r>
          </w:p>
        </w:tc>
      </w:tr>
      <w:tr>
        <w:tc>
          <w:tcPr>
            <w:tcW w:type="dxa" w:w="23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보험업법 라이선스</w:t>
            </w:r>
          </w:p>
        </w:tc>
        <w:tc>
          <w:tcPr>
            <w:tcW w:type="dxa" w:w="3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무허가 보험 판매 금지</w:t>
            </w:r>
          </w:p>
        </w:tc>
        <w:tc>
          <w:tcPr>
            <w:tcW w:type="dxa" w:w="33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자체 라이선스 대신 기존 보험사 대상 B2B 기술공급자로 포지셔닝</w:t>
            </w:r>
          </w:p>
        </w:tc>
      </w:tr>
      <w:tr>
        <w:tc>
          <w:tcPr>
            <w:tcW w:type="dxa" w:w="23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자본시장법상 유사수신 소지</w:t>
            </w:r>
          </w:p>
        </w:tc>
        <w:tc>
          <w:tcPr>
            <w:tcW w:type="dxa" w:w="3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재보험풀/대체투자 상품이 미등록 집합투자로 해석될 위험</w:t>
            </w:r>
          </w:p>
        </w:tc>
        <w:tc>
          <w:tcPr>
            <w:tcW w:type="dxa" w:w="33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실자금 유치 전 법률 자문, 필요 시 투자자를 전문투자자로 제한</w:t>
            </w:r>
          </w:p>
        </w:tc>
      </w:tr>
      <w:tr>
        <w:tc>
          <w:tcPr>
            <w:tcW w:type="dxa" w:w="23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특정금융정보법(VASP)</w:t>
            </w:r>
          </w:p>
        </w:tc>
        <w:tc>
          <w:tcPr>
            <w:tcW w:type="dxa" w:w="3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가상자산 결제 수취 시 VASP 등록 의무</w:t>
            </w:r>
          </w:p>
        </w:tc>
        <w:tc>
          <w:tcPr>
            <w:tcW w:type="dxa" w:w="33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초기엔 원화 결제만 지원, 블록체인은 백엔드 자동화 레이어로만 사용</w:t>
            </w:r>
          </w:p>
        </w:tc>
      </w:tr>
      <w:tr>
        <w:tc>
          <w:tcPr>
            <w:tcW w:type="dxa" w:w="23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규제특례 만료</w:t>
            </w:r>
          </w:p>
        </w:tc>
        <w:tc>
          <w:tcPr>
            <w:tcW w:type="dxa" w:w="3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혁신금융서비스 특례는 최대 4년 한시</w:t>
            </w:r>
          </w:p>
        </w:tc>
        <w:tc>
          <w:tcPr>
            <w:tcW w:type="dxa" w:w="33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특례 기간 중 정식 GA 등록 또는 보험사 정식 계약 전환 목표</w:t>
            </w:r>
          </w:p>
        </w:tc>
      </w:tr>
      <w:tr>
        <w:tc>
          <w:tcPr>
            <w:tcW w:type="dxa" w:w="23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스마트컨트랙트 불변성</w:t>
            </w:r>
          </w:p>
        </w:tc>
        <w:tc>
          <w:tcPr>
            <w:tcW w:type="dxa" w:w="37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로직 수정 어려움(업그레이드 프록시 미적용)</w:t>
            </w:r>
          </w:p>
        </w:tc>
        <w:tc>
          <w:tcPr>
            <w:tcW w:type="dxa" w:w="33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자주 바뀌는 로직은 프론트엔드/오프체인 분리, 향후 프록시 패턴 도입 검토</w:t>
            </w:r>
          </w:p>
        </w:tc>
      </w:tr>
    </w:tbl>
    <w:p>
      <w:pPr>
        <w:pStyle w:val="Heading2"/>
        <w:spacing w:after="120" w:before="220"/>
      </w:pPr>
      <w:r>
        <w:rPr>
          <w:rFonts w:ascii="Malgun Gothic" w:cs="Malgun Gothic" w:eastAsia="Malgun Gothic" w:hAnsi="Malgun Gothic"/>
          <w:b/>
          <w:bCs/>
          <w:sz w:val="25"/>
          <w:szCs w:val="25"/>
        </w:rPr>
        <w:t xml:space="preserve">5-7. 남은 과제</w:t>
      </w:r>
    </w:p>
    <w:p>
      <w:pPr>
        <w:pStyle w:val="ListParagraph"/>
        <w:numPr>
          <w:ilvl w:val="0"/>
          <w:numId w:val="1"/>
        </w:numPr>
        <w:spacing w:after="90"/>
      </w:pPr>
      <w:r>
        <w:rPr>
          <w:rFonts w:ascii="Malgun Gothic" w:cs="Malgun Gothic" w:eastAsia="Malgun Gothic" w:hAnsi="Malgun Gothic"/>
          <w:sz w:val="21"/>
          <w:szCs w:val="21"/>
        </w:rPr>
        <w:t xml:space="preserve">스마트컨트랙트 불변성과 규제 불확실성은 프록시 패턴 도입, 규제 샌드박스 참여로 보완 필요(결제 경로 재진입 가드·Hardhat 테스트 스위트는 1차 안전장치로 이미 반영)</w:t>
      </w:r>
    </w:p>
    <w:p>
      <w:pPr>
        <w:pStyle w:val="ListParagraph"/>
        <w:numPr>
          <w:ilvl w:val="0"/>
          <w:numId w:val="1"/>
        </w:numPr>
        <w:spacing w:after="90"/>
      </w:pPr>
      <w:r>
        <w:rPr>
          <w:rFonts w:ascii="Malgun Gothic" w:cs="Malgun Gothic" w:eastAsia="Malgun Gothic" w:hAnsi="Malgun Gothic"/>
          <w:sz w:val="21"/>
          <w:szCs w:val="21"/>
        </w:rPr>
        <w:t xml:space="preserve">온체인 조회는 주소만 알면 누구나 열람 가능한 공개 원장 특성상 소유권 증명이 없어, 정식 서비스 전환 시 서명 기반 지갑 인증(SIWE) 추가 필요</w:t>
      </w:r>
    </w:p>
    <w:p>
      <w:pPr>
        <w:pStyle w:val="ListParagraph"/>
        <w:numPr>
          <w:ilvl w:val="0"/>
          <w:numId w:val="1"/>
        </w:numPr>
        <w:spacing w:after="90"/>
      </w:pPr>
      <w:r>
        <w:rPr>
          <w:rFonts w:ascii="Malgun Gothic" w:cs="Malgun Gothic" w:eastAsia="Malgun Gothic" w:hAnsi="Malgun Gothic"/>
          <w:sz w:val="21"/>
          <w:szCs w:val="21"/>
        </w:rPr>
        <w:t xml:space="preserve">Jev PoC 결과 확보, 업비트 참고정보 패널의 실제 구현 여부 결정</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2026-10-12T00:49:19.325Z</dcterms:created>
  <dcterms:modified xsi:type="dcterms:W3CDTF">2026-10-12T00:49:19.325Z</dcterms:modified>
</cp:coreProperties>
</file>

<file path=docProps/custom.xml><?xml version="1.0" encoding="utf-8"?>
<Properties xmlns="http://schemas.openxmlformats.org/officeDocument/2006/custom-properties" xmlns:vt="http://schemas.openxmlformats.org/officeDocument/2006/docPropsVTypes"/>
</file>