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8A1184" w14:textId="77777777" w:rsidR="00EF5C24" w:rsidRDefault="002E58C1">
      <w:pPr>
        <w:spacing w:before="480" w:after="480" w:line="288" w:lineRule="auto"/>
      </w:pPr>
      <w:r>
        <w:rPr>
          <w:rFonts w:ascii="Arial" w:eastAsia="DengXian" w:hAnsi="Arial" w:cs="Arial"/>
          <w:b/>
          <w:sz w:val="52"/>
        </w:rPr>
        <w:t>扩展</w:t>
      </w:r>
      <w:r>
        <w:rPr>
          <w:rFonts w:ascii="Arial" w:eastAsia="DengXian" w:hAnsi="Arial" w:cs="Arial"/>
          <w:b/>
          <w:sz w:val="52"/>
        </w:rPr>
        <w:t>DRL</w:t>
      </w:r>
      <w:r>
        <w:rPr>
          <w:rFonts w:ascii="Arial" w:eastAsia="DengXian" w:hAnsi="Arial" w:cs="Arial"/>
          <w:b/>
          <w:sz w:val="52"/>
        </w:rPr>
        <w:t>模型的马尔可夫建模与实验验证方案</w:t>
      </w:r>
    </w:p>
    <w:p w14:paraId="55CEBC0F" w14:textId="77777777" w:rsidR="00EF5C24" w:rsidRDefault="002E58C1">
      <w:pPr>
        <w:spacing w:before="380" w:after="140" w:line="288" w:lineRule="auto"/>
        <w:outlineLvl w:val="0"/>
      </w:pPr>
      <w:bookmarkStart w:id="0" w:name="heading_0"/>
      <w:r>
        <w:rPr>
          <w:rFonts w:ascii="Arial" w:eastAsia="DengXian" w:hAnsi="Arial" w:cs="Arial"/>
          <w:b/>
          <w:sz w:val="36"/>
        </w:rPr>
        <w:t>扩展</w:t>
      </w:r>
      <w:r>
        <w:rPr>
          <w:rFonts w:ascii="Arial" w:eastAsia="DengXian" w:hAnsi="Arial" w:cs="Arial"/>
          <w:b/>
          <w:sz w:val="36"/>
        </w:rPr>
        <w:t>DRL</w:t>
      </w:r>
      <w:r>
        <w:rPr>
          <w:rFonts w:ascii="Arial" w:eastAsia="DengXian" w:hAnsi="Arial" w:cs="Arial"/>
          <w:b/>
          <w:sz w:val="36"/>
        </w:rPr>
        <w:t>模型的马尔可夫建模与实验验证方案</w:t>
      </w:r>
      <w:bookmarkEnd w:id="0"/>
    </w:p>
    <w:p w14:paraId="771173BF" w14:textId="77777777" w:rsidR="00EF5C24" w:rsidRDefault="002E58C1">
      <w:pPr>
        <w:spacing w:before="120" w:after="120" w:line="288" w:lineRule="auto"/>
      </w:pPr>
      <w:r>
        <w:rPr>
          <w:rFonts w:ascii="Arial" w:eastAsia="DengXian" w:hAnsi="Arial" w:cs="Arial"/>
        </w:rPr>
        <w:t>本文基于原论文「全有或全无良率</w:t>
      </w:r>
      <w:r>
        <w:rPr>
          <w:rFonts w:ascii="Arial" w:eastAsia="DengXian" w:hAnsi="Arial" w:cs="Arial"/>
        </w:rPr>
        <w:t>+</w:t>
      </w:r>
      <w:r>
        <w:rPr>
          <w:rFonts w:ascii="Arial" w:eastAsia="DengXian" w:hAnsi="Arial" w:cs="Arial"/>
        </w:rPr>
        <w:t>非零提前期」的基准</w:t>
      </w:r>
      <w:r>
        <w:rPr>
          <w:rFonts w:ascii="Arial" w:eastAsia="DengXian" w:hAnsi="Arial" w:cs="Arial"/>
        </w:rPr>
        <w:t>MDP</w:t>
      </w:r>
      <w:r>
        <w:rPr>
          <w:rFonts w:ascii="Arial" w:eastAsia="DengXian" w:hAnsi="Arial" w:cs="Arial"/>
        </w:rPr>
        <w:t>框架，结合</w:t>
      </w:r>
      <w:r>
        <w:rPr>
          <w:rFonts w:ascii="Arial" w:eastAsia="DengXian" w:hAnsi="Arial" w:cs="Arial"/>
          <w:b/>
        </w:rPr>
        <w:t>季节性需求扩展</w:t>
      </w:r>
      <w:r>
        <w:rPr>
          <w:rFonts w:ascii="Arial" w:eastAsia="DengXian" w:hAnsi="Arial" w:cs="Arial"/>
        </w:rPr>
        <w:t>与</w:t>
      </w:r>
      <w:r>
        <w:rPr>
          <w:rFonts w:ascii="Arial" w:eastAsia="DengXian" w:hAnsi="Arial" w:cs="Arial"/>
          <w:b/>
        </w:rPr>
        <w:t>双源采购扩展</w:t>
      </w:r>
      <w:r>
        <w:rPr>
          <w:rFonts w:ascii="Arial" w:eastAsia="DengXian" w:hAnsi="Arial" w:cs="Arial"/>
        </w:rPr>
        <w:t>，完整推导扩展后的马尔可夫决策过程，并设计分层实验方案以验证扩展</w:t>
      </w:r>
      <w:r>
        <w:rPr>
          <w:rFonts w:ascii="Arial" w:eastAsia="DengXian" w:hAnsi="Arial" w:cs="Arial"/>
        </w:rPr>
        <w:t>DRL</w:t>
      </w:r>
      <w:r>
        <w:rPr>
          <w:rFonts w:ascii="Arial" w:eastAsia="DengXian" w:hAnsi="Arial" w:cs="Arial"/>
        </w:rPr>
        <w:t>策略的有效性。</w:t>
      </w:r>
    </w:p>
    <w:p w14:paraId="73926098" w14:textId="77777777" w:rsidR="00EF5C24" w:rsidRDefault="00EF5C24">
      <w:pPr>
        <w:pBdr>
          <w:bottom w:val="single" w:sz="0" w:space="0" w:color="DEE0E3"/>
          <w:between w:val="single" w:sz="0" w:space="0" w:color="DEE0E3"/>
        </w:pBdr>
        <w:spacing w:before="120" w:after="120" w:line="288" w:lineRule="auto"/>
      </w:pPr>
    </w:p>
    <w:p w14:paraId="51908AF3" w14:textId="77777777" w:rsidR="00EF5C24" w:rsidRDefault="002E58C1">
      <w:pPr>
        <w:spacing w:before="320" w:after="120" w:line="288" w:lineRule="auto"/>
        <w:outlineLvl w:val="1"/>
      </w:pPr>
      <w:bookmarkStart w:id="1" w:name="heading_1"/>
      <w:r>
        <w:rPr>
          <w:rFonts w:ascii="Arial" w:eastAsia="DengXian" w:hAnsi="Arial" w:cs="Arial"/>
          <w:b/>
          <w:sz w:val="32"/>
        </w:rPr>
        <w:t>一、扩展后的</w:t>
      </w:r>
      <w:r>
        <w:rPr>
          <w:rFonts w:ascii="Arial" w:eastAsia="DengXian" w:hAnsi="Arial" w:cs="Arial"/>
          <w:b/>
          <w:sz w:val="32"/>
        </w:rPr>
        <w:t>DRL</w:t>
      </w:r>
      <w:r>
        <w:rPr>
          <w:rFonts w:ascii="Arial" w:eastAsia="DengXian" w:hAnsi="Arial" w:cs="Arial"/>
          <w:b/>
          <w:sz w:val="32"/>
        </w:rPr>
        <w:t>马尔可夫决策过程建模</w:t>
      </w:r>
      <w:bookmarkEnd w:id="1"/>
    </w:p>
    <w:p w14:paraId="312F5D20" w14:textId="77777777" w:rsidR="00EF5C24" w:rsidRDefault="002E58C1">
      <w:pPr>
        <w:spacing w:before="300" w:after="120" w:line="288" w:lineRule="auto"/>
        <w:outlineLvl w:val="2"/>
      </w:pPr>
      <w:bookmarkStart w:id="2" w:name="heading_2"/>
      <w:r>
        <w:rPr>
          <w:rFonts w:ascii="Arial" w:eastAsia="DengXian" w:hAnsi="Arial" w:cs="Arial"/>
          <w:b/>
          <w:sz w:val="30"/>
        </w:rPr>
        <w:t xml:space="preserve">1.1 </w:t>
      </w:r>
      <w:r>
        <w:rPr>
          <w:rFonts w:ascii="Arial" w:eastAsia="DengXian" w:hAnsi="Arial" w:cs="Arial"/>
          <w:b/>
          <w:sz w:val="30"/>
        </w:rPr>
        <w:t>基准模型回顾与扩展动机</w:t>
      </w:r>
      <w:bookmarkEnd w:id="2"/>
    </w:p>
    <w:p w14:paraId="01146E18" w14:textId="77777777" w:rsidR="00EF5C24" w:rsidRDefault="002E58C1">
      <w:pPr>
        <w:spacing w:before="120" w:after="120" w:line="288" w:lineRule="auto"/>
      </w:pPr>
      <w:r>
        <w:rPr>
          <w:rFonts w:ascii="Arial" w:eastAsia="DengXian" w:hAnsi="Arial" w:cs="Arial"/>
        </w:rPr>
        <w:t>原论文的</w:t>
      </w:r>
      <w:r>
        <w:rPr>
          <w:rFonts w:ascii="Arial" w:eastAsia="DengXian" w:hAnsi="Arial" w:cs="Arial"/>
        </w:rPr>
        <w:t>MDP</w:t>
      </w:r>
      <w:r>
        <w:rPr>
          <w:rFonts w:ascii="Arial" w:eastAsia="DengXian" w:hAnsi="Arial" w:cs="Arial"/>
        </w:rPr>
        <w:t>建立在</w:t>
      </w:r>
      <w:r>
        <w:rPr>
          <w:rFonts w:ascii="Arial" w:eastAsia="DengXian" w:hAnsi="Arial" w:cs="Arial"/>
          <w:b/>
        </w:rPr>
        <w:t>单源采购、平稳需求</w:t>
      </w:r>
      <w:r>
        <w:rPr>
          <w:rFonts w:ascii="Arial" w:eastAsia="DengXian" w:hAnsi="Arial" w:cs="Arial"/>
        </w:rPr>
        <w:t>的假设之上：</w:t>
      </w:r>
    </w:p>
    <w:p w14:paraId="07D03D8D" w14:textId="77777777" w:rsidR="00EF5C24" w:rsidRDefault="002E58C1">
      <w:pPr>
        <w:numPr>
          <w:ilvl w:val="0"/>
          <w:numId w:val="1"/>
        </w:numPr>
        <w:spacing w:before="120" w:after="120" w:line="288" w:lineRule="auto"/>
      </w:pPr>
      <w:r>
        <w:rPr>
          <w:rFonts w:ascii="Arial" w:eastAsia="DengXian" w:hAnsi="Arial" w:cs="Arial"/>
        </w:rPr>
        <w:t>状态：仅包含当前库存与</w:t>
      </w:r>
      <w:r>
        <w:rPr>
          <w:rFonts w:ascii="Arial" w:eastAsia="DengXian" w:hAnsi="Arial" w:cs="Arial"/>
        </w:rPr>
        <w:t>L-1</w:t>
      </w:r>
      <w:r>
        <w:rPr>
          <w:rFonts w:ascii="Arial" w:eastAsia="DengXian" w:hAnsi="Arial" w:cs="Arial"/>
        </w:rPr>
        <w:t>维在途订单队列</w:t>
      </w:r>
    </w:p>
    <w:p w14:paraId="5AD611DB" w14:textId="77777777" w:rsidR="00EF5C24" w:rsidRDefault="002E58C1">
      <w:pPr>
        <w:numPr>
          <w:ilvl w:val="0"/>
          <w:numId w:val="2"/>
        </w:numPr>
        <w:spacing w:before="120" w:after="120" w:line="288" w:lineRule="auto"/>
      </w:pPr>
      <w:r>
        <w:rPr>
          <w:rFonts w:ascii="Arial" w:eastAsia="DengXian" w:hAnsi="Arial" w:cs="Arial"/>
        </w:rPr>
        <w:t>动作：单渠道订货量标量</w:t>
      </w:r>
    </w:p>
    <w:p w14:paraId="6177D669" w14:textId="77777777" w:rsidR="00EF5C24" w:rsidRDefault="002E58C1">
      <w:pPr>
        <w:numPr>
          <w:ilvl w:val="0"/>
          <w:numId w:val="3"/>
        </w:numPr>
        <w:spacing w:before="120" w:after="120" w:line="288" w:lineRule="auto"/>
      </w:pPr>
      <w:r>
        <w:rPr>
          <w:rFonts w:ascii="Arial" w:eastAsia="DengXian" w:hAnsi="Arial" w:cs="Arial"/>
        </w:rPr>
        <w:t>随机过程：需求独立同分布，良率为伯努利分布</w:t>
      </w:r>
    </w:p>
    <w:p w14:paraId="4D696631" w14:textId="77777777" w:rsidR="00EF5C24" w:rsidRDefault="002E58C1">
      <w:pPr>
        <w:numPr>
          <w:ilvl w:val="0"/>
          <w:numId w:val="4"/>
        </w:numPr>
        <w:spacing w:before="120" w:after="120" w:line="288" w:lineRule="auto"/>
      </w:pPr>
      <w:r>
        <w:rPr>
          <w:rFonts w:ascii="Arial" w:eastAsia="DengXian" w:hAnsi="Arial" w:cs="Arial"/>
        </w:rPr>
        <w:t>状态转移：仅常规渠道按提前期到货，需求消耗库存</w:t>
      </w:r>
    </w:p>
    <w:p w14:paraId="5F823CCA" w14:textId="77777777" w:rsidR="00EF5C24" w:rsidRDefault="002E58C1">
      <w:pPr>
        <w:spacing w:before="120" w:after="120" w:line="288" w:lineRule="auto"/>
      </w:pPr>
      <w:r>
        <w:rPr>
          <w:rFonts w:ascii="Arial" w:eastAsia="DengXian" w:hAnsi="Arial" w:cs="Arial"/>
        </w:rPr>
        <w:t>该框架无法刻画药品供应链的两个核心现实特征：</w:t>
      </w:r>
    </w:p>
    <w:p w14:paraId="22630D2B" w14:textId="77777777" w:rsidR="00EF5C24" w:rsidRDefault="002E58C1">
      <w:pPr>
        <w:numPr>
          <w:ilvl w:val="0"/>
          <w:numId w:val="5"/>
        </w:numPr>
        <w:spacing w:before="120" w:after="120" w:line="288" w:lineRule="auto"/>
      </w:pPr>
      <w:r>
        <w:rPr>
          <w:rFonts w:ascii="Arial" w:eastAsia="DengXian" w:hAnsi="Arial" w:cs="Arial"/>
          <w:b/>
        </w:rPr>
        <w:t>需求非平稳性</w:t>
      </w:r>
      <w:r>
        <w:rPr>
          <w:rFonts w:ascii="Arial" w:eastAsia="DengXian" w:hAnsi="Arial" w:cs="Arial"/>
        </w:rPr>
        <w:t>：疾病流行的季节性周期导致需求均值与波动随时间动态变化；</w:t>
      </w:r>
    </w:p>
    <w:p w14:paraId="4CFCE0CB" w14:textId="77777777" w:rsidR="00EF5C24" w:rsidRDefault="002E58C1">
      <w:pPr>
        <w:numPr>
          <w:ilvl w:val="0"/>
          <w:numId w:val="6"/>
        </w:numPr>
        <w:spacing w:before="120" w:after="120" w:line="288" w:lineRule="auto"/>
      </w:pPr>
      <w:r>
        <w:rPr>
          <w:rFonts w:ascii="Arial" w:eastAsia="DengXian" w:hAnsi="Arial" w:cs="Arial"/>
          <w:b/>
        </w:rPr>
        <w:t>供应双渠道性</w:t>
      </w:r>
      <w:r>
        <w:rPr>
          <w:rFonts w:ascii="Arial" w:eastAsia="DengXian" w:hAnsi="Arial" w:cs="Arial"/>
        </w:rPr>
        <w:t>：常规低成本渠道与应急高可靠渠道并存，存在成本</w:t>
      </w:r>
      <w:r>
        <w:rPr>
          <w:rFonts w:ascii="Arial" w:eastAsia="DengXian" w:hAnsi="Arial" w:cs="Arial"/>
        </w:rPr>
        <w:t>-</w:t>
      </w:r>
      <w:r>
        <w:rPr>
          <w:rFonts w:ascii="Arial" w:eastAsia="DengXian" w:hAnsi="Arial" w:cs="Arial"/>
        </w:rPr>
        <w:t>响应速度的权衡。</w:t>
      </w:r>
    </w:p>
    <w:p w14:paraId="1C48B21A" w14:textId="77777777" w:rsidR="00EF5C24" w:rsidRDefault="002E58C1">
      <w:pPr>
        <w:spacing w:before="120" w:after="120" w:line="288" w:lineRule="auto"/>
      </w:pPr>
      <w:r>
        <w:rPr>
          <w:rFonts w:ascii="Arial" w:eastAsia="DengXian" w:hAnsi="Arial" w:cs="Arial"/>
        </w:rPr>
        <w:t>因此，我们对</w:t>
      </w:r>
      <w:r>
        <w:rPr>
          <w:rFonts w:ascii="Arial" w:eastAsia="DengXian" w:hAnsi="Arial" w:cs="Arial"/>
        </w:rPr>
        <w:t>MDP</w:t>
      </w:r>
      <w:r>
        <w:rPr>
          <w:rFonts w:ascii="Arial" w:eastAsia="DengXian" w:hAnsi="Arial" w:cs="Arial"/>
        </w:rPr>
        <w:t>的状态空间、动作空间、随机过程与状态转移进行系统性扩展，扩展后的模型仍满足马尔可夫性质。</w:t>
      </w:r>
    </w:p>
    <w:p w14:paraId="2BE54791" w14:textId="77777777" w:rsidR="00EF5C24" w:rsidRDefault="00EF5C24">
      <w:pPr>
        <w:pBdr>
          <w:bottom w:val="single" w:sz="0" w:space="0" w:color="DEE0E3"/>
          <w:between w:val="single" w:sz="0" w:space="0" w:color="DEE0E3"/>
        </w:pBdr>
        <w:spacing w:before="120" w:after="120" w:line="288" w:lineRule="auto"/>
      </w:pPr>
    </w:p>
    <w:p w14:paraId="15F76164" w14:textId="77777777" w:rsidR="00EF5C24" w:rsidRDefault="002E58C1">
      <w:pPr>
        <w:spacing w:before="300" w:after="120" w:line="288" w:lineRule="auto"/>
        <w:outlineLvl w:val="2"/>
      </w:pPr>
      <w:bookmarkStart w:id="3" w:name="heading_3"/>
      <w:r>
        <w:rPr>
          <w:rFonts w:ascii="Arial" w:eastAsia="DengXian" w:hAnsi="Arial" w:cs="Arial"/>
          <w:b/>
          <w:sz w:val="30"/>
        </w:rPr>
        <w:t xml:space="preserve">1.2 </w:t>
      </w:r>
      <w:r>
        <w:rPr>
          <w:rFonts w:ascii="Arial" w:eastAsia="DengXian" w:hAnsi="Arial" w:cs="Arial"/>
          <w:b/>
          <w:sz w:val="30"/>
        </w:rPr>
        <w:t>扩展</w:t>
      </w:r>
      <w:r>
        <w:rPr>
          <w:rFonts w:ascii="Arial" w:eastAsia="DengXian" w:hAnsi="Arial" w:cs="Arial"/>
          <w:b/>
          <w:sz w:val="30"/>
        </w:rPr>
        <w:t>MDP</w:t>
      </w:r>
      <w:r>
        <w:rPr>
          <w:rFonts w:ascii="Arial" w:eastAsia="DengXian" w:hAnsi="Arial" w:cs="Arial"/>
          <w:b/>
          <w:sz w:val="30"/>
        </w:rPr>
        <w:t>的核心要素定义</w:t>
      </w:r>
      <w:bookmarkEnd w:id="3"/>
    </w:p>
    <w:p w14:paraId="4E5FF964" w14:textId="77777777" w:rsidR="00EF5C24" w:rsidRDefault="002E58C1">
      <w:pPr>
        <w:spacing w:before="260" w:after="120" w:line="288" w:lineRule="auto"/>
        <w:outlineLvl w:val="3"/>
      </w:pPr>
      <w:bookmarkStart w:id="4" w:name="heading_4"/>
      <w:r>
        <w:rPr>
          <w:rFonts w:ascii="Arial" w:eastAsia="DengXian" w:hAnsi="Arial" w:cs="Arial"/>
          <w:b/>
          <w:sz w:val="28"/>
        </w:rPr>
        <w:t>（</w:t>
      </w:r>
      <w:r>
        <w:rPr>
          <w:rFonts w:ascii="Arial" w:eastAsia="DengXian" w:hAnsi="Arial" w:cs="Arial"/>
          <w:b/>
          <w:sz w:val="28"/>
        </w:rPr>
        <w:t>1</w:t>
      </w:r>
      <w:r>
        <w:rPr>
          <w:rFonts w:ascii="Arial" w:eastAsia="DengXian" w:hAnsi="Arial" w:cs="Arial"/>
          <w:b/>
          <w:sz w:val="28"/>
        </w:rPr>
        <w:t>）时间与回合定义</w:t>
      </w:r>
      <w:bookmarkEnd w:id="4"/>
    </w:p>
    <w:p w14:paraId="52EF56C8" w14:textId="77777777" w:rsidR="00EF5C24" w:rsidRDefault="002E58C1">
      <w:pPr>
        <w:numPr>
          <w:ilvl w:val="0"/>
          <w:numId w:val="7"/>
        </w:numPr>
        <w:spacing w:before="120" w:after="120" w:line="288" w:lineRule="auto"/>
      </w:pPr>
      <w:r>
        <w:rPr>
          <w:rFonts w:ascii="Arial" w:eastAsia="DengXian" w:hAnsi="Arial" w:cs="Arial"/>
          <w:b/>
        </w:rPr>
        <w:lastRenderedPageBreak/>
        <w:t>时间步</w:t>
      </w:r>
      <w:r>
        <w:rPr>
          <w:rFonts w:ascii="Arial" w:eastAsia="DengXian" w:hAnsi="Arial" w:cs="Arial"/>
        </w:rPr>
        <w:t>：每个时间步</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对应一个盘点周期（如</w:t>
      </w:r>
      <w:r>
        <w:rPr>
          <w:rFonts w:ascii="Arial" w:eastAsia="DengXian" w:hAnsi="Arial" w:cs="Arial"/>
        </w:rPr>
        <w:t>1</w:t>
      </w:r>
      <w:r>
        <w:rPr>
          <w:rFonts w:ascii="Arial" w:eastAsia="DengXian" w:hAnsi="Arial" w:cs="Arial"/>
        </w:rPr>
        <w:t>天</w:t>
      </w:r>
      <w:r>
        <w:rPr>
          <w:rFonts w:ascii="Arial" w:eastAsia="DengXian" w:hAnsi="Arial" w:cs="Arial"/>
        </w:rPr>
        <w:t>/1</w:t>
      </w:r>
      <w:r>
        <w:rPr>
          <w:rFonts w:ascii="Arial" w:eastAsia="DengXian" w:hAnsi="Arial" w:cs="Arial"/>
        </w:rPr>
        <w:t>周），决策在每期期初执行。</w:t>
      </w:r>
    </w:p>
    <w:p w14:paraId="42E10E3F" w14:textId="77777777" w:rsidR="00EF5C24" w:rsidRDefault="002E58C1">
      <w:pPr>
        <w:numPr>
          <w:ilvl w:val="0"/>
          <w:numId w:val="8"/>
        </w:numPr>
        <w:spacing w:before="120" w:after="120" w:line="288" w:lineRule="auto"/>
      </w:pPr>
      <w:r>
        <w:rPr>
          <w:rFonts w:ascii="Arial" w:eastAsia="DengXian" w:hAnsi="Arial" w:cs="Arial"/>
          <w:b/>
        </w:rPr>
        <w:t>规划期</w:t>
      </w:r>
      <w:r>
        <w:rPr>
          <w:rFonts w:ascii="Arial" w:eastAsia="DengXian" w:hAnsi="Arial" w:cs="Arial"/>
        </w:rPr>
        <w:t>：总周期长度为</w:t>
      </w:r>
      <w:r>
        <w:rPr>
          <w:rFonts w:ascii="Arial" w:eastAsia="DengXian" w:hAnsi="Arial" w:cs="Arial"/>
        </w:rPr>
        <w:t xml:space="preserve"> </w:t>
      </w:r>
      <m:oMath>
        <m:r>
          <w:rPr>
            <w:rFonts w:ascii="Cambria Math" w:hAnsi="Cambria Math"/>
          </w:rPr>
          <m:t>T</m:t>
        </m:r>
      </m:oMath>
      <w:r>
        <w:rPr>
          <w:rFonts w:ascii="Arial" w:eastAsia="DengXian" w:hAnsi="Arial" w:cs="Arial"/>
        </w:rPr>
        <w:t>，一个完整的训练</w:t>
      </w:r>
      <w:r>
        <w:rPr>
          <w:rFonts w:ascii="Arial" w:eastAsia="DengXian" w:hAnsi="Arial" w:cs="Arial"/>
        </w:rPr>
        <w:t>/</w:t>
      </w:r>
      <w:r>
        <w:rPr>
          <w:rFonts w:ascii="Arial" w:eastAsia="DengXian" w:hAnsi="Arial" w:cs="Arial"/>
        </w:rPr>
        <w:t>测试回合（</w:t>
      </w:r>
      <w:r>
        <w:rPr>
          <w:rFonts w:ascii="Arial" w:eastAsia="DengXian" w:hAnsi="Arial" w:cs="Arial"/>
        </w:rPr>
        <w:t>Episode</w:t>
      </w:r>
      <w:r>
        <w:rPr>
          <w:rFonts w:ascii="Arial" w:eastAsia="DengXian" w:hAnsi="Arial" w:cs="Arial"/>
        </w:rPr>
        <w:t>）包含从</w:t>
      </w:r>
      <w:r>
        <w:rPr>
          <w:rFonts w:ascii="Arial" w:eastAsia="DengXian" w:hAnsi="Arial" w:cs="Arial"/>
        </w:rPr>
        <w:t xml:space="preserve"> </w:t>
      </w:r>
      <m:oMath>
        <m:r>
          <w:rPr>
            <w:rFonts w:ascii="Cambria Math" w:hAnsi="Cambria Math"/>
          </w:rPr>
          <m:t>t=0</m:t>
        </m:r>
      </m:oMath>
      <w:r>
        <w:rPr>
          <w:rFonts w:ascii="Arial" w:eastAsia="DengXian" w:hAnsi="Arial" w:cs="Arial"/>
        </w:rPr>
        <w:t xml:space="preserve"> </w:t>
      </w:r>
      <w:r>
        <w:rPr>
          <w:rFonts w:ascii="Arial" w:eastAsia="DengXian" w:hAnsi="Arial" w:cs="Arial"/>
        </w:rPr>
        <w:t>到</w:t>
      </w:r>
      <w:r>
        <w:rPr>
          <w:rFonts w:ascii="Arial" w:eastAsia="DengXian" w:hAnsi="Arial" w:cs="Arial"/>
        </w:rPr>
        <w:t xml:space="preserve"> </w:t>
      </w:r>
      <m:oMath>
        <m:r>
          <w:rPr>
            <w:rFonts w:ascii="Cambria Math" w:hAnsi="Cambria Math"/>
          </w:rPr>
          <m:t>t=T-1</m:t>
        </m:r>
      </m:oMath>
      <w:r>
        <w:rPr>
          <w:rFonts w:ascii="Arial" w:eastAsia="DengXian" w:hAnsi="Arial" w:cs="Arial"/>
        </w:rPr>
        <w:t xml:space="preserve"> </w:t>
      </w:r>
      <w:r>
        <w:rPr>
          <w:rFonts w:ascii="Arial" w:eastAsia="DengXian" w:hAnsi="Arial" w:cs="Arial"/>
        </w:rPr>
        <w:t>的全部</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个周期。</w:t>
      </w:r>
    </w:p>
    <w:p w14:paraId="4EEC6DB0" w14:textId="77777777" w:rsidR="00EF5C24" w:rsidRDefault="002E58C1">
      <w:pPr>
        <w:numPr>
          <w:ilvl w:val="0"/>
          <w:numId w:val="9"/>
        </w:numPr>
        <w:spacing w:before="120" w:after="120" w:line="288" w:lineRule="auto"/>
      </w:pPr>
      <w:r>
        <w:rPr>
          <w:rFonts w:ascii="Arial" w:eastAsia="DengXian" w:hAnsi="Arial" w:cs="Arial"/>
          <w:b/>
        </w:rPr>
        <w:t>折扣因子</w:t>
      </w:r>
      <w:r>
        <w:rPr>
          <w:rFonts w:ascii="Arial" w:eastAsia="DengXian" w:hAnsi="Arial" w:cs="Arial"/>
        </w:rPr>
        <w:t>：</w:t>
      </w:r>
      <m:oMath>
        <m:r>
          <w:rPr>
            <w:rFonts w:ascii="Cambria Math" w:hAnsi="Cambria Math"/>
          </w:rPr>
          <m:t>α∈(0,1]</m:t>
        </m:r>
      </m:oMath>
      <w:r>
        <w:rPr>
          <w:rFonts w:ascii="Arial" w:eastAsia="DengXian" w:hAnsi="Arial" w:cs="Arial"/>
        </w:rPr>
        <w:t xml:space="preserve"> </w:t>
      </w:r>
      <w:r>
        <w:rPr>
          <w:rFonts w:ascii="Arial" w:eastAsia="DengXian" w:hAnsi="Arial" w:cs="Arial"/>
        </w:rPr>
        <w:t>为折扣系数，越远期的成本权重越低。</w:t>
      </w:r>
    </w:p>
    <w:p w14:paraId="5F38DADE" w14:textId="77777777" w:rsidR="00EF5C24" w:rsidRDefault="002E58C1">
      <w:pPr>
        <w:numPr>
          <w:ilvl w:val="0"/>
          <w:numId w:val="10"/>
        </w:numPr>
        <w:spacing w:before="120" w:after="120" w:line="288" w:lineRule="auto"/>
      </w:pPr>
      <w:r>
        <w:rPr>
          <w:rFonts w:ascii="Arial" w:eastAsia="DengXian" w:hAnsi="Arial" w:cs="Arial"/>
          <w:b/>
        </w:rPr>
        <w:t>初始状态</w:t>
      </w:r>
      <w:r>
        <w:rPr>
          <w:rFonts w:ascii="Arial" w:eastAsia="DengXian" w:hAnsi="Arial" w:cs="Arial"/>
        </w:rPr>
        <w:t>：初始库存</w:t>
      </w:r>
      <w:r>
        <w:rPr>
          <w:rFonts w:ascii="Arial" w:eastAsia="DengXian" w:hAnsi="Arial" w:cs="Arial"/>
        </w:rPr>
        <w:t xml:space="preserve"> </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=0</m:t>
        </m:r>
      </m:oMath>
      <w:r>
        <w:rPr>
          <w:rFonts w:ascii="Arial" w:eastAsia="DengXian" w:hAnsi="Arial" w:cs="Arial"/>
        </w:rPr>
        <w:t>，初始在途队列为长度</w:t>
      </w:r>
      <w:r>
        <w:rPr>
          <w:rFonts w:ascii="Arial" w:eastAsia="DengXian" w:hAnsi="Arial" w:cs="Arial"/>
        </w:rPr>
        <w:t xml:space="preserve"> </w:t>
      </w:r>
      <m:oMath>
        <m:r>
          <w:rPr>
            <w:rFonts w:ascii="Cambria Math" w:hAnsi="Cambria Math"/>
          </w:rPr>
          <m:t>L</m:t>
        </m:r>
      </m:oMath>
      <w:r>
        <w:rPr>
          <w:rFonts w:ascii="Arial" w:eastAsia="DengXian" w:hAnsi="Arial" w:cs="Arial"/>
        </w:rPr>
        <w:t xml:space="preserve"> </w:t>
      </w:r>
      <w:r>
        <w:rPr>
          <w:rFonts w:ascii="Arial" w:eastAsia="DengXian" w:hAnsi="Arial" w:cs="Arial"/>
        </w:rPr>
        <w:t>的零向量，即所有未到货订单均为</w:t>
      </w:r>
      <w:r>
        <w:rPr>
          <w:rFonts w:ascii="Arial" w:eastAsia="DengXian" w:hAnsi="Arial" w:cs="Arial"/>
        </w:rPr>
        <w:t>0</w:t>
      </w:r>
      <w:r>
        <w:rPr>
          <w:rFonts w:ascii="Arial" w:eastAsia="DengXian" w:hAnsi="Arial" w:cs="Arial"/>
        </w:rPr>
        <w:t>。</w:t>
      </w:r>
    </w:p>
    <w:p w14:paraId="23316000" w14:textId="77777777" w:rsidR="00EF5C24" w:rsidRDefault="002E58C1">
      <w:pPr>
        <w:spacing w:before="260" w:after="120" w:line="288" w:lineRule="auto"/>
        <w:outlineLvl w:val="3"/>
      </w:pPr>
      <w:bookmarkStart w:id="5" w:name="heading_5"/>
      <w:r>
        <w:rPr>
          <w:rFonts w:ascii="Arial" w:eastAsia="DengXian" w:hAnsi="Arial" w:cs="Arial"/>
          <w:b/>
          <w:sz w:val="28"/>
        </w:rPr>
        <w:t>（</w:t>
      </w:r>
      <w:r>
        <w:rPr>
          <w:rFonts w:ascii="Arial" w:eastAsia="DengXian" w:hAnsi="Arial" w:cs="Arial"/>
          <w:b/>
          <w:sz w:val="28"/>
        </w:rPr>
        <w:t>2</w:t>
      </w:r>
      <w:r>
        <w:rPr>
          <w:rFonts w:ascii="Arial" w:eastAsia="DengXian" w:hAnsi="Arial" w:cs="Arial"/>
          <w:b/>
          <w:sz w:val="28"/>
        </w:rPr>
        <w:t>）状态空间</w:t>
      </w:r>
      <w:r>
        <w:rPr>
          <w:rFonts w:ascii="Arial" w:eastAsia="DengXian" w:hAnsi="Arial" w:cs="Arial"/>
          <w:b/>
          <w:sz w:val="28"/>
        </w:rPr>
        <w:t xml:space="preserve"> </w:t>
      </w:r>
      <m:oMath>
        <m:r>
          <m:rPr>
            <m:scr m:val="script"/>
          </m:rPr>
          <w:rPr>
            <w:rFonts w:ascii="Cambria Math" w:hAnsi="Cambria Math"/>
          </w:rPr>
          <m:t>S</m:t>
        </m:r>
      </m:oMath>
      <w:bookmarkEnd w:id="5"/>
    </w:p>
    <w:p w14:paraId="383CA250" w14:textId="77777777" w:rsidR="00EF5C24" w:rsidRDefault="002E58C1">
      <w:pPr>
        <w:spacing w:before="120" w:after="120" w:line="288" w:lineRule="auto"/>
      </w:pPr>
      <w:r>
        <w:rPr>
          <w:rFonts w:ascii="Arial" w:eastAsia="DengXian" w:hAnsi="Arial" w:cs="Arial"/>
        </w:rPr>
        <w:t>扩展后的状态向量包含</w:t>
      </w:r>
      <w:r>
        <w:rPr>
          <w:rFonts w:ascii="Arial" w:eastAsia="DengXian" w:hAnsi="Arial" w:cs="Arial"/>
          <w:b/>
        </w:rPr>
        <w:t>物理库存状态</w:t>
      </w:r>
      <w:r>
        <w:rPr>
          <w:rFonts w:ascii="Arial" w:eastAsia="DengXian" w:hAnsi="Arial" w:cs="Arial"/>
        </w:rPr>
        <w:t>、</w:t>
      </w:r>
      <w:r>
        <w:rPr>
          <w:rFonts w:ascii="Arial" w:eastAsia="DengXian" w:hAnsi="Arial" w:cs="Arial"/>
          <w:b/>
        </w:rPr>
        <w:t>在途订单状态</w:t>
      </w:r>
      <w:r>
        <w:rPr>
          <w:rFonts w:ascii="Arial" w:eastAsia="DengXian" w:hAnsi="Arial" w:cs="Arial"/>
        </w:rPr>
        <w:t>与</w:t>
      </w:r>
      <w:r>
        <w:rPr>
          <w:rFonts w:ascii="Arial" w:eastAsia="DengXian" w:hAnsi="Arial" w:cs="Arial"/>
          <w:b/>
        </w:rPr>
        <w:t>时间周期特征</w:t>
      </w:r>
      <w:r>
        <w:rPr>
          <w:rFonts w:ascii="Arial" w:eastAsia="DengXian" w:hAnsi="Arial" w:cs="Arial"/>
        </w:rPr>
        <w:t>三部分：</w:t>
      </w:r>
    </w:p>
    <w:p w14:paraId="092BA764" w14:textId="77777777" w:rsidR="00EF5C24" w:rsidRDefault="002E58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,sin⁡</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T</m:t>
                  </m:r>
                </m:den>
              </m:f>
            </m:e>
          </m:d>
        </m:oMath>
      </m:oMathPara>
    </w:p>
    <w:p w14:paraId="6AC15003" w14:textId="77777777" w:rsidR="00EF5C24" w:rsidRDefault="002E58C1">
      <w:pPr>
        <w:spacing w:before="120" w:after="120" w:line="288" w:lineRule="auto"/>
      </w:pPr>
      <w:r>
        <w:rPr>
          <w:rFonts w:ascii="Arial" w:eastAsia="DengXian" w:hAnsi="Arial" w:cs="Arial"/>
        </w:rPr>
        <w:t>各分量含义：</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231CA2" w14:paraId="100458B5" w14:textId="77777777">
        <w:tblPrEx>
          <w:tblCellMar>
            <w:top w:w="0" w:type="dxa"/>
            <w:bottom w:w="0" w:type="dxa"/>
          </w:tblCellMar>
        </w:tblPrEx>
        <w:tc>
          <w:tcPr>
            <w:tcW w:w="2070" w:type="dxa"/>
            <w:tcMar>
              <w:top w:w="60" w:type="dxa"/>
              <w:left w:w="120" w:type="dxa"/>
              <w:bottom w:w="30" w:type="dxa"/>
              <w:right w:w="120" w:type="dxa"/>
            </w:tcMar>
          </w:tcPr>
          <w:p w14:paraId="15277522" w14:textId="77777777" w:rsidR="00EF5C24" w:rsidRDefault="002E58C1">
            <w:pPr>
              <w:spacing w:before="120" w:after="120" w:line="288" w:lineRule="auto"/>
            </w:pPr>
            <w:r>
              <w:rPr>
                <w:rFonts w:ascii="Arial" w:eastAsia="DengXian" w:hAnsi="Arial" w:cs="Arial"/>
              </w:rPr>
              <w:t>分量</w:t>
            </w:r>
          </w:p>
        </w:tc>
        <w:tc>
          <w:tcPr>
            <w:tcW w:w="2070" w:type="dxa"/>
            <w:tcMar>
              <w:top w:w="60" w:type="dxa"/>
              <w:left w:w="120" w:type="dxa"/>
              <w:bottom w:w="30" w:type="dxa"/>
              <w:right w:w="120" w:type="dxa"/>
            </w:tcMar>
          </w:tcPr>
          <w:p w14:paraId="25C55E5D" w14:textId="77777777" w:rsidR="00EF5C24" w:rsidRDefault="002E58C1">
            <w:pPr>
              <w:spacing w:before="120" w:after="120" w:line="288" w:lineRule="auto"/>
            </w:pPr>
            <w:r>
              <w:rPr>
                <w:rFonts w:ascii="Arial" w:eastAsia="DengXian" w:hAnsi="Arial" w:cs="Arial"/>
              </w:rPr>
              <w:t>符号</w:t>
            </w:r>
          </w:p>
        </w:tc>
        <w:tc>
          <w:tcPr>
            <w:tcW w:w="2070" w:type="dxa"/>
            <w:tcMar>
              <w:top w:w="60" w:type="dxa"/>
              <w:left w:w="120" w:type="dxa"/>
              <w:bottom w:w="30" w:type="dxa"/>
              <w:right w:w="120" w:type="dxa"/>
            </w:tcMar>
          </w:tcPr>
          <w:p w14:paraId="1FC1D46D" w14:textId="77777777" w:rsidR="00EF5C24" w:rsidRDefault="002E58C1">
            <w:pPr>
              <w:spacing w:before="120" w:after="120" w:line="288" w:lineRule="auto"/>
            </w:pPr>
            <w:r>
              <w:rPr>
                <w:rFonts w:ascii="Arial" w:eastAsia="DengXian" w:hAnsi="Arial" w:cs="Arial"/>
              </w:rPr>
              <w:t>维度</w:t>
            </w:r>
          </w:p>
        </w:tc>
        <w:tc>
          <w:tcPr>
            <w:tcW w:w="2070" w:type="dxa"/>
            <w:tcMar>
              <w:top w:w="60" w:type="dxa"/>
              <w:left w:w="120" w:type="dxa"/>
              <w:bottom w:w="30" w:type="dxa"/>
              <w:right w:w="120" w:type="dxa"/>
            </w:tcMar>
          </w:tcPr>
          <w:p w14:paraId="69FF2DBD" w14:textId="77777777" w:rsidR="00EF5C24" w:rsidRDefault="002E58C1">
            <w:pPr>
              <w:spacing w:before="120" w:after="120" w:line="288" w:lineRule="auto"/>
            </w:pPr>
            <w:r>
              <w:rPr>
                <w:rFonts w:ascii="Arial" w:eastAsia="DengXian" w:hAnsi="Arial" w:cs="Arial"/>
              </w:rPr>
              <w:t>含义</w:t>
            </w:r>
          </w:p>
        </w:tc>
      </w:tr>
      <w:tr w:rsidR="00231CA2" w14:paraId="511B354C" w14:textId="77777777">
        <w:tblPrEx>
          <w:tblCellMar>
            <w:top w:w="0" w:type="dxa"/>
            <w:bottom w:w="0" w:type="dxa"/>
          </w:tblCellMar>
        </w:tblPrEx>
        <w:tc>
          <w:tcPr>
            <w:tcW w:w="2070" w:type="dxa"/>
            <w:tcMar>
              <w:top w:w="60" w:type="dxa"/>
              <w:left w:w="120" w:type="dxa"/>
              <w:bottom w:w="30" w:type="dxa"/>
              <w:right w:w="120" w:type="dxa"/>
            </w:tcMar>
          </w:tcPr>
          <w:p w14:paraId="4BD6301F" w14:textId="77777777" w:rsidR="00EF5C24" w:rsidRDefault="002E58C1">
            <w:pPr>
              <w:spacing w:before="120" w:after="120" w:line="288" w:lineRule="auto"/>
            </w:pPr>
            <w:r>
              <w:rPr>
                <w:rFonts w:ascii="Arial" w:eastAsia="DengXian" w:hAnsi="Arial" w:cs="Arial"/>
              </w:rPr>
              <w:t>动态目标库存</w:t>
            </w:r>
          </w:p>
        </w:tc>
        <w:tc>
          <w:tcPr>
            <w:tcW w:w="2070" w:type="dxa"/>
            <w:tcMar>
              <w:top w:w="60" w:type="dxa"/>
              <w:left w:w="120" w:type="dxa"/>
              <w:bottom w:w="30" w:type="dxa"/>
              <w:right w:w="120" w:type="dxa"/>
            </w:tcMar>
          </w:tcPr>
          <w:p w14:paraId="7300ED73"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(t)</m:t>
                </m:r>
              </m:oMath>
            </m:oMathPara>
          </w:p>
        </w:tc>
        <w:tc>
          <w:tcPr>
            <w:tcW w:w="2070" w:type="dxa"/>
            <w:tcMar>
              <w:top w:w="60" w:type="dxa"/>
              <w:left w:w="120" w:type="dxa"/>
              <w:bottom w:w="30" w:type="dxa"/>
              <w:right w:w="120" w:type="dxa"/>
            </w:tcMar>
          </w:tcPr>
          <w:p w14:paraId="05A24CF7" w14:textId="77777777" w:rsidR="00EF5C24" w:rsidRDefault="002E58C1">
            <w:pPr>
              <w:spacing w:before="120" w:after="120" w:line="288" w:lineRule="auto"/>
            </w:pPr>
            <w:r>
              <w:rPr>
                <w:rFonts w:ascii="Arial" w:eastAsia="DengXian" w:hAnsi="Arial" w:cs="Arial"/>
              </w:rPr>
              <w:t>1</w:t>
            </w:r>
          </w:p>
        </w:tc>
        <w:tc>
          <w:tcPr>
            <w:tcW w:w="2070" w:type="dxa"/>
            <w:tcMar>
              <w:top w:w="60" w:type="dxa"/>
              <w:left w:w="120" w:type="dxa"/>
              <w:bottom w:w="30" w:type="dxa"/>
              <w:right w:w="120" w:type="dxa"/>
            </w:tcMar>
          </w:tcPr>
          <w:p w14:paraId="3E6F60B2" w14:textId="77777777" w:rsidR="00EF5C24" w:rsidRDefault="002E58C1">
            <w:pPr>
              <w:spacing w:before="120" w:after="120" w:line="288" w:lineRule="auto"/>
            </w:pPr>
            <w:r>
              <w:rPr>
                <w:rFonts w:ascii="Arial" w:eastAsia="DengXian" w:hAnsi="Arial" w:cs="Arial"/>
              </w:rPr>
              <w:t>前瞻性计算的</w:t>
            </w:r>
            <w:r>
              <w:rPr>
                <w:rFonts w:ascii="Arial" w:eastAsia="DengXian" w:hAnsi="Arial" w:cs="Arial"/>
              </w:rPr>
              <w:t xml:space="preserve"> </w:t>
            </w:r>
            <m:oMath>
              <m:r>
                <w:rPr>
                  <w:rFonts w:ascii="Cambria Math" w:hAnsi="Cambria Math"/>
                </w:rPr>
                <m:t>t+L</m:t>
              </m:r>
            </m:oMath>
            <w:r>
              <w:rPr>
                <w:rFonts w:ascii="Arial" w:eastAsia="DengXian" w:hAnsi="Arial" w:cs="Arial"/>
              </w:rPr>
              <w:t xml:space="preserve"> </w:t>
            </w:r>
            <w:r>
              <w:rPr>
                <w:rFonts w:ascii="Arial" w:eastAsia="DengXian" w:hAnsi="Arial" w:cs="Arial"/>
              </w:rPr>
              <w:t>期常规渠道目标库存，作为路径缺口计算的基准</w:t>
            </w:r>
          </w:p>
        </w:tc>
      </w:tr>
      <w:tr w:rsidR="00231CA2" w14:paraId="5B275712" w14:textId="77777777">
        <w:tblPrEx>
          <w:tblCellMar>
            <w:top w:w="0" w:type="dxa"/>
            <w:bottom w:w="0" w:type="dxa"/>
          </w:tblCellMar>
        </w:tblPrEx>
        <w:tc>
          <w:tcPr>
            <w:tcW w:w="2070" w:type="dxa"/>
            <w:tcMar>
              <w:top w:w="60" w:type="dxa"/>
              <w:left w:w="120" w:type="dxa"/>
              <w:bottom w:w="30" w:type="dxa"/>
              <w:right w:w="120" w:type="dxa"/>
            </w:tcMar>
          </w:tcPr>
          <w:p w14:paraId="32B876CF" w14:textId="77777777" w:rsidR="00EF5C24" w:rsidRDefault="002E58C1">
            <w:pPr>
              <w:spacing w:before="120" w:after="120" w:line="288" w:lineRule="auto"/>
            </w:pPr>
            <w:r>
              <w:rPr>
                <w:rFonts w:ascii="Arial" w:eastAsia="DengXian" w:hAnsi="Arial" w:cs="Arial"/>
              </w:rPr>
              <w:t>当前可用库存</w:t>
            </w:r>
          </w:p>
        </w:tc>
        <w:tc>
          <w:tcPr>
            <w:tcW w:w="2070" w:type="dxa"/>
            <w:tcMar>
              <w:top w:w="60" w:type="dxa"/>
              <w:left w:w="120" w:type="dxa"/>
              <w:bottom w:w="30" w:type="dxa"/>
              <w:right w:w="120" w:type="dxa"/>
            </w:tcMar>
          </w:tcPr>
          <w:p w14:paraId="69B2A822" w14:textId="77777777" w:rsidR="00EF5C24" w:rsidRDefault="002E58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oMath>
            </m:oMathPara>
          </w:p>
        </w:tc>
        <w:tc>
          <w:tcPr>
            <w:tcW w:w="2070" w:type="dxa"/>
            <w:tcMar>
              <w:top w:w="60" w:type="dxa"/>
              <w:left w:w="120" w:type="dxa"/>
              <w:bottom w:w="30" w:type="dxa"/>
              <w:right w:w="120" w:type="dxa"/>
            </w:tcMar>
          </w:tcPr>
          <w:p w14:paraId="05E8FE64" w14:textId="77777777" w:rsidR="00EF5C24" w:rsidRDefault="002E58C1">
            <w:pPr>
              <w:spacing w:before="120" w:after="120" w:line="288" w:lineRule="auto"/>
            </w:pPr>
            <w:r>
              <w:rPr>
                <w:rFonts w:ascii="Arial" w:eastAsia="DengXian" w:hAnsi="Arial" w:cs="Arial"/>
              </w:rPr>
              <w:t>1</w:t>
            </w:r>
          </w:p>
        </w:tc>
        <w:tc>
          <w:tcPr>
            <w:tcW w:w="2070" w:type="dxa"/>
            <w:tcMar>
              <w:top w:w="60" w:type="dxa"/>
              <w:left w:w="120" w:type="dxa"/>
              <w:bottom w:w="30" w:type="dxa"/>
              <w:right w:w="120" w:type="dxa"/>
            </w:tcMar>
          </w:tcPr>
          <w:p w14:paraId="5673F43B" w14:textId="77777777" w:rsidR="00EF5C24" w:rsidRDefault="002E58C1">
            <w:pPr>
              <w:spacing w:before="120" w:after="120" w:line="288" w:lineRule="auto"/>
            </w:pPr>
            <w:r>
              <w:rPr>
                <w:rFonts w:ascii="Arial" w:eastAsia="DengXian" w:hAnsi="Arial" w:cs="Arial"/>
              </w:rPr>
              <w:t>常规渠道到货后、应急决策前的库存水平</w:t>
            </w:r>
          </w:p>
        </w:tc>
      </w:tr>
      <w:tr w:rsidR="00231CA2" w14:paraId="44A1C62B" w14:textId="77777777">
        <w:tblPrEx>
          <w:tblCellMar>
            <w:top w:w="0" w:type="dxa"/>
            <w:bottom w:w="0" w:type="dxa"/>
          </w:tblCellMar>
        </w:tblPrEx>
        <w:tc>
          <w:tcPr>
            <w:tcW w:w="2070" w:type="dxa"/>
            <w:tcMar>
              <w:top w:w="60" w:type="dxa"/>
              <w:left w:w="120" w:type="dxa"/>
              <w:bottom w:w="30" w:type="dxa"/>
              <w:right w:w="120" w:type="dxa"/>
            </w:tcMar>
          </w:tcPr>
          <w:p w14:paraId="3244F1EA" w14:textId="77777777" w:rsidR="00EF5C24" w:rsidRDefault="002E58C1">
            <w:pPr>
              <w:spacing w:before="120" w:after="120" w:line="288" w:lineRule="auto"/>
            </w:pPr>
            <w:r>
              <w:rPr>
                <w:rFonts w:ascii="Arial" w:eastAsia="DengXian" w:hAnsi="Arial" w:cs="Arial"/>
              </w:rPr>
              <w:t>在途订单队列</w:t>
            </w:r>
          </w:p>
        </w:tc>
        <w:tc>
          <w:tcPr>
            <w:tcW w:w="2070" w:type="dxa"/>
            <w:tcMar>
              <w:top w:w="60" w:type="dxa"/>
              <w:left w:w="120" w:type="dxa"/>
              <w:bottom w:w="30" w:type="dxa"/>
              <w:right w:w="120" w:type="dxa"/>
            </w:tcMar>
          </w:tcPr>
          <w:p w14:paraId="1A01645E"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q</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oMath>
            </m:oMathPara>
          </w:p>
        </w:tc>
        <w:tc>
          <w:tcPr>
            <w:tcW w:w="2070" w:type="dxa"/>
            <w:tcMar>
              <w:top w:w="60" w:type="dxa"/>
              <w:left w:w="120" w:type="dxa"/>
              <w:bottom w:w="30" w:type="dxa"/>
              <w:right w:w="120" w:type="dxa"/>
            </w:tcMar>
          </w:tcPr>
          <w:p w14:paraId="42743321" w14:textId="77777777" w:rsidR="00EF5C24" w:rsidRDefault="002E58C1">
            <w:pPr>
              <w:spacing w:before="120" w:after="120" w:line="288" w:lineRule="auto"/>
            </w:pPr>
            <m:oMathPara>
              <m:oMathParaPr>
                <m:jc m:val="left"/>
              </m:oMathParaPr>
              <m:oMath>
                <m:r>
                  <w:rPr>
                    <w:rFonts w:ascii="Cambria Math" w:hAnsi="Cambria Math"/>
                  </w:rPr>
                  <m:t>L-1</m:t>
                </m:r>
              </m:oMath>
            </m:oMathPara>
          </w:p>
        </w:tc>
        <w:tc>
          <w:tcPr>
            <w:tcW w:w="2070" w:type="dxa"/>
            <w:tcMar>
              <w:top w:w="60" w:type="dxa"/>
              <w:left w:w="120" w:type="dxa"/>
              <w:bottom w:w="30" w:type="dxa"/>
              <w:right w:w="120" w:type="dxa"/>
            </w:tcMar>
          </w:tcPr>
          <w:p w14:paraId="7EDA4FAD" w14:textId="77777777" w:rsidR="00EF5C24" w:rsidRDefault="002E58C1">
            <w:pPr>
              <w:spacing w:before="120" w:after="120" w:line="288" w:lineRule="auto"/>
            </w:pPr>
            <w:r>
              <w:rPr>
                <w:rFonts w:ascii="Arial" w:eastAsia="DengXian" w:hAnsi="Arial" w:cs="Arial"/>
              </w:rPr>
              <w:t>已下达但尚未到货的常规渠道订单，共</w:t>
            </w:r>
            <w:r>
              <w:rPr>
                <w:rFonts w:ascii="Arial" w:eastAsia="DengXian" w:hAnsi="Arial" w:cs="Arial"/>
              </w:rPr>
              <w:t xml:space="preserve"> </w:t>
            </w:r>
            <m:oMath>
              <m:r>
                <w:rPr>
                  <w:rFonts w:ascii="Cambria Math" w:hAnsi="Cambria Math"/>
                </w:rPr>
                <m:t>L-1</m:t>
              </m:r>
            </m:oMath>
            <w:r>
              <w:rPr>
                <w:rFonts w:ascii="Arial" w:eastAsia="DengXian" w:hAnsi="Arial" w:cs="Arial"/>
              </w:rPr>
              <w:t xml:space="preserve"> </w:t>
            </w:r>
            <w:r>
              <w:rPr>
                <w:rFonts w:ascii="Arial" w:eastAsia="DengXian" w:hAnsi="Arial" w:cs="Arial"/>
              </w:rPr>
              <w:t>笔</w:t>
            </w:r>
          </w:p>
        </w:tc>
      </w:tr>
      <w:tr w:rsidR="00231CA2" w14:paraId="5BA02816" w14:textId="77777777">
        <w:tblPrEx>
          <w:tblCellMar>
            <w:top w:w="0" w:type="dxa"/>
            <w:bottom w:w="0" w:type="dxa"/>
          </w:tblCellMar>
        </w:tblPrEx>
        <w:tc>
          <w:tcPr>
            <w:tcW w:w="2070" w:type="dxa"/>
            <w:tcMar>
              <w:top w:w="60" w:type="dxa"/>
              <w:left w:w="120" w:type="dxa"/>
              <w:bottom w:w="30" w:type="dxa"/>
              <w:right w:w="120" w:type="dxa"/>
            </w:tcMar>
          </w:tcPr>
          <w:p w14:paraId="7704B9EB" w14:textId="77777777" w:rsidR="00EF5C24" w:rsidRDefault="002E58C1">
            <w:pPr>
              <w:spacing w:before="120" w:after="120" w:line="288" w:lineRule="auto"/>
            </w:pPr>
            <w:r>
              <w:rPr>
                <w:rFonts w:ascii="Arial" w:eastAsia="DengXian" w:hAnsi="Arial" w:cs="Arial"/>
              </w:rPr>
              <w:t>正弦时间编码</w:t>
            </w:r>
          </w:p>
        </w:tc>
        <w:tc>
          <w:tcPr>
            <w:tcW w:w="2070" w:type="dxa"/>
            <w:tcMar>
              <w:top w:w="60" w:type="dxa"/>
              <w:left w:w="120" w:type="dxa"/>
              <w:bottom w:w="30" w:type="dxa"/>
              <w:right w:w="120" w:type="dxa"/>
            </w:tcMar>
          </w:tcPr>
          <w:p w14:paraId="0B5D513A" w14:textId="77777777" w:rsidR="00EF5C24" w:rsidRDefault="002E58C1">
            <w:pPr>
              <w:spacing w:before="120" w:after="120" w:line="288" w:lineRule="auto"/>
            </w:pPr>
            <m:oMathPara>
              <m:oMathParaPr>
                <m:jc m:val="left"/>
              </m:oMathParaPr>
              <m:oMath>
                <m:r>
                  <m:rPr>
                    <m:sty m:val="p"/>
                  </m:rPr>
                  <w:rPr>
                    <w:rFonts w:ascii="Cambria Math" w:hAnsi="Cambria Math"/>
                  </w:rPr>
                  <m:t>sin</m:t>
                </m:r>
                <m:r>
                  <w:rPr>
                    <w:rFonts w:ascii="Cambria Math" w:hAnsi="Cambria Math"/>
                  </w:rPr>
                  <m:t>⁡(2πt/τ)</m:t>
                </m:r>
              </m:oMath>
            </m:oMathPara>
          </w:p>
        </w:tc>
        <w:tc>
          <w:tcPr>
            <w:tcW w:w="2070" w:type="dxa"/>
            <w:tcMar>
              <w:top w:w="60" w:type="dxa"/>
              <w:left w:w="120" w:type="dxa"/>
              <w:bottom w:w="30" w:type="dxa"/>
              <w:right w:w="120" w:type="dxa"/>
            </w:tcMar>
          </w:tcPr>
          <w:p w14:paraId="1601E448" w14:textId="77777777" w:rsidR="00EF5C24" w:rsidRDefault="002E58C1">
            <w:pPr>
              <w:spacing w:before="120" w:after="120" w:line="288" w:lineRule="auto"/>
            </w:pPr>
            <w:r>
              <w:rPr>
                <w:rFonts w:ascii="Arial" w:eastAsia="DengXian" w:hAnsi="Arial" w:cs="Arial"/>
              </w:rPr>
              <w:t>1</w:t>
            </w:r>
          </w:p>
        </w:tc>
        <w:tc>
          <w:tcPr>
            <w:tcW w:w="2070" w:type="dxa"/>
            <w:tcMar>
              <w:top w:w="60" w:type="dxa"/>
              <w:left w:w="120" w:type="dxa"/>
              <w:bottom w:w="30" w:type="dxa"/>
              <w:right w:w="120" w:type="dxa"/>
            </w:tcMar>
          </w:tcPr>
          <w:p w14:paraId="619F5933" w14:textId="77777777" w:rsidR="00EF5C24" w:rsidRDefault="002E58C1">
            <w:pPr>
              <w:spacing w:before="120" w:after="120" w:line="288" w:lineRule="auto"/>
            </w:pPr>
            <w:r>
              <w:rPr>
                <w:rFonts w:ascii="Arial" w:eastAsia="DengXian" w:hAnsi="Arial" w:cs="Arial"/>
              </w:rPr>
              <w:t>捕捉周期相位，保证周期首尾连续性</w:t>
            </w:r>
          </w:p>
        </w:tc>
      </w:tr>
      <w:tr w:rsidR="00231CA2" w14:paraId="60811FFE" w14:textId="77777777">
        <w:tblPrEx>
          <w:tblCellMar>
            <w:top w:w="0" w:type="dxa"/>
            <w:bottom w:w="0" w:type="dxa"/>
          </w:tblCellMar>
        </w:tblPrEx>
        <w:tc>
          <w:tcPr>
            <w:tcW w:w="2070" w:type="dxa"/>
            <w:tcMar>
              <w:top w:w="60" w:type="dxa"/>
              <w:left w:w="120" w:type="dxa"/>
              <w:bottom w:w="30" w:type="dxa"/>
              <w:right w:w="120" w:type="dxa"/>
            </w:tcMar>
          </w:tcPr>
          <w:p w14:paraId="2ED60607" w14:textId="77777777" w:rsidR="00EF5C24" w:rsidRDefault="002E58C1">
            <w:pPr>
              <w:spacing w:before="120" w:after="120" w:line="288" w:lineRule="auto"/>
            </w:pPr>
            <w:r>
              <w:rPr>
                <w:rFonts w:ascii="Arial" w:eastAsia="DengXian" w:hAnsi="Arial" w:cs="Arial"/>
              </w:rPr>
              <w:t>余弦时间编码</w:t>
            </w:r>
          </w:p>
        </w:tc>
        <w:tc>
          <w:tcPr>
            <w:tcW w:w="2070" w:type="dxa"/>
            <w:tcMar>
              <w:top w:w="60" w:type="dxa"/>
              <w:left w:w="120" w:type="dxa"/>
              <w:bottom w:w="30" w:type="dxa"/>
              <w:right w:w="120" w:type="dxa"/>
            </w:tcMar>
          </w:tcPr>
          <w:p w14:paraId="63B2083E" w14:textId="77777777" w:rsidR="00EF5C24" w:rsidRDefault="002E58C1">
            <w:pPr>
              <w:spacing w:before="120" w:after="120" w:line="288" w:lineRule="auto"/>
            </w:pPr>
            <m:oMathPara>
              <m:oMathParaPr>
                <m:jc m:val="left"/>
              </m:oMathParaPr>
              <m:oMath>
                <m:r>
                  <m:rPr>
                    <m:sty m:val="p"/>
                  </m:rPr>
                  <w:rPr>
                    <w:rFonts w:ascii="Cambria Math" w:hAnsi="Cambria Math"/>
                  </w:rPr>
                  <m:t>cos</m:t>
                </m:r>
                <m:r>
                  <w:rPr>
                    <w:rFonts w:ascii="Cambria Math" w:hAnsi="Cambria Math"/>
                  </w:rPr>
                  <m:t>⁡(2πt/τ)</m:t>
                </m:r>
              </m:oMath>
            </m:oMathPara>
          </w:p>
        </w:tc>
        <w:tc>
          <w:tcPr>
            <w:tcW w:w="2070" w:type="dxa"/>
            <w:tcMar>
              <w:top w:w="60" w:type="dxa"/>
              <w:left w:w="120" w:type="dxa"/>
              <w:bottom w:w="30" w:type="dxa"/>
              <w:right w:w="120" w:type="dxa"/>
            </w:tcMar>
          </w:tcPr>
          <w:p w14:paraId="3FF31A39" w14:textId="77777777" w:rsidR="00EF5C24" w:rsidRDefault="002E58C1">
            <w:pPr>
              <w:spacing w:before="120" w:after="120" w:line="288" w:lineRule="auto"/>
            </w:pPr>
            <w:r>
              <w:rPr>
                <w:rFonts w:ascii="Arial" w:eastAsia="DengXian" w:hAnsi="Arial" w:cs="Arial"/>
              </w:rPr>
              <w:t>1</w:t>
            </w:r>
          </w:p>
        </w:tc>
        <w:tc>
          <w:tcPr>
            <w:tcW w:w="2070" w:type="dxa"/>
            <w:tcMar>
              <w:top w:w="60" w:type="dxa"/>
              <w:left w:w="120" w:type="dxa"/>
              <w:bottom w:w="30" w:type="dxa"/>
              <w:right w:w="120" w:type="dxa"/>
            </w:tcMar>
          </w:tcPr>
          <w:p w14:paraId="6C41E588" w14:textId="77777777" w:rsidR="00EF5C24" w:rsidRDefault="002E58C1">
            <w:pPr>
              <w:spacing w:before="120" w:after="120" w:line="288" w:lineRule="auto"/>
            </w:pPr>
            <w:r>
              <w:rPr>
                <w:rFonts w:ascii="Arial" w:eastAsia="DengXian" w:hAnsi="Arial" w:cs="Arial"/>
              </w:rPr>
              <w:t>与正弦分量共同唯一确定周期位置</w:t>
            </w:r>
          </w:p>
        </w:tc>
      </w:tr>
      <w:tr w:rsidR="00231CA2" w14:paraId="460EFD84" w14:textId="77777777">
        <w:tblPrEx>
          <w:tblCellMar>
            <w:top w:w="0" w:type="dxa"/>
            <w:bottom w:w="0" w:type="dxa"/>
          </w:tblCellMar>
        </w:tblPrEx>
        <w:tc>
          <w:tcPr>
            <w:tcW w:w="2070" w:type="dxa"/>
            <w:tcMar>
              <w:top w:w="60" w:type="dxa"/>
              <w:left w:w="120" w:type="dxa"/>
              <w:bottom w:w="30" w:type="dxa"/>
              <w:right w:w="120" w:type="dxa"/>
            </w:tcMar>
          </w:tcPr>
          <w:p w14:paraId="666216ED" w14:textId="77777777" w:rsidR="00EF5C24" w:rsidRDefault="002E58C1">
            <w:pPr>
              <w:spacing w:before="120" w:after="120" w:line="288" w:lineRule="auto"/>
            </w:pPr>
            <w:r>
              <w:rPr>
                <w:rFonts w:ascii="Arial" w:eastAsia="DengXian" w:hAnsi="Arial" w:cs="Arial"/>
              </w:rPr>
              <w:t>归一化时间</w:t>
            </w:r>
          </w:p>
        </w:tc>
        <w:tc>
          <w:tcPr>
            <w:tcW w:w="2070" w:type="dxa"/>
            <w:tcMar>
              <w:top w:w="60" w:type="dxa"/>
              <w:left w:w="120" w:type="dxa"/>
              <w:bottom w:w="30" w:type="dxa"/>
              <w:right w:w="120" w:type="dxa"/>
            </w:tcMar>
          </w:tcPr>
          <w:p w14:paraId="5C1674E3" w14:textId="77777777" w:rsidR="00EF5C24" w:rsidRDefault="002E58C1">
            <w:pPr>
              <w:spacing w:before="120" w:after="120" w:line="288" w:lineRule="auto"/>
            </w:pPr>
            <m:oMathPara>
              <m:oMathParaPr>
                <m:jc m:val="left"/>
              </m:oMathParaPr>
              <m:oMath>
                <m:r>
                  <w:rPr>
                    <w:rFonts w:ascii="Cambria Math" w:hAnsi="Cambria Math"/>
                  </w:rPr>
                  <m:t>t/T</m:t>
                </m:r>
              </m:oMath>
            </m:oMathPara>
          </w:p>
        </w:tc>
        <w:tc>
          <w:tcPr>
            <w:tcW w:w="2070" w:type="dxa"/>
            <w:tcMar>
              <w:top w:w="60" w:type="dxa"/>
              <w:left w:w="120" w:type="dxa"/>
              <w:bottom w:w="30" w:type="dxa"/>
              <w:right w:w="120" w:type="dxa"/>
            </w:tcMar>
          </w:tcPr>
          <w:p w14:paraId="648F0CCB" w14:textId="77777777" w:rsidR="00EF5C24" w:rsidRDefault="002E58C1">
            <w:pPr>
              <w:spacing w:before="120" w:after="120" w:line="288" w:lineRule="auto"/>
            </w:pPr>
            <w:r>
              <w:rPr>
                <w:rFonts w:ascii="Arial" w:eastAsia="DengXian" w:hAnsi="Arial" w:cs="Arial"/>
              </w:rPr>
              <w:t>1</w:t>
            </w:r>
          </w:p>
        </w:tc>
        <w:tc>
          <w:tcPr>
            <w:tcW w:w="2070" w:type="dxa"/>
            <w:tcMar>
              <w:top w:w="60" w:type="dxa"/>
              <w:left w:w="120" w:type="dxa"/>
              <w:bottom w:w="30" w:type="dxa"/>
              <w:right w:w="120" w:type="dxa"/>
            </w:tcMar>
          </w:tcPr>
          <w:p w14:paraId="5EEAA9E7" w14:textId="77777777" w:rsidR="00EF5C24" w:rsidRDefault="002E58C1">
            <w:pPr>
              <w:spacing w:before="120" w:after="120" w:line="288" w:lineRule="auto"/>
            </w:pPr>
            <w:r>
              <w:rPr>
                <w:rFonts w:ascii="Arial" w:eastAsia="DengXian" w:hAnsi="Arial" w:cs="Arial"/>
              </w:rPr>
              <w:t>刻画规划期内的相对时间位置</w:t>
            </w:r>
          </w:p>
        </w:tc>
      </w:tr>
    </w:tbl>
    <w:p w14:paraId="62CB1382" w14:textId="77777777" w:rsidR="00EF5C24" w:rsidRDefault="002E58C1">
      <w:pPr>
        <w:spacing w:before="120" w:after="120" w:line="288" w:lineRule="auto"/>
      </w:pPr>
      <w:r>
        <w:rPr>
          <w:rFonts w:ascii="Arial" w:eastAsia="DengXian" w:hAnsi="Arial" w:cs="Arial"/>
          <w:b/>
          <w:i/>
          <w:color w:val="646A73"/>
        </w:rPr>
        <w:t>马尔可夫性说明</w:t>
      </w:r>
      <w:r>
        <w:rPr>
          <w:rFonts w:ascii="Arial" w:eastAsia="DengXian" w:hAnsi="Arial" w:cs="Arial"/>
          <w:i/>
          <w:color w:val="646A73"/>
        </w:rPr>
        <w:t>：由于需求具有季节性非平稳性，仅靠库存与在途订单无法预测未来</w:t>
      </w:r>
      <w:r>
        <w:rPr>
          <w:rFonts w:ascii="Arial" w:eastAsia="DengXian" w:hAnsi="Arial" w:cs="Arial"/>
          <w:i/>
          <w:color w:val="646A73"/>
        </w:rPr>
        <w:lastRenderedPageBreak/>
        <w:t>需求分布，因此必须将时间特征纳入状态空间，使决策仅依赖当前状态即可最优，满足马尔可夫决策过程的定义。</w:t>
      </w:r>
    </w:p>
    <w:p w14:paraId="23B85A0A" w14:textId="77777777" w:rsidR="00EF5C24" w:rsidRDefault="002E58C1">
      <w:pPr>
        <w:spacing w:before="260" w:after="120" w:line="288" w:lineRule="auto"/>
        <w:outlineLvl w:val="3"/>
      </w:pPr>
      <w:bookmarkStart w:id="6" w:name="heading_6"/>
      <w:r>
        <w:rPr>
          <w:rFonts w:ascii="Arial" w:eastAsia="DengXian" w:hAnsi="Arial" w:cs="Arial"/>
          <w:b/>
          <w:sz w:val="28"/>
        </w:rPr>
        <w:t>（</w:t>
      </w:r>
      <w:r>
        <w:rPr>
          <w:rFonts w:ascii="Arial" w:eastAsia="DengXian" w:hAnsi="Arial" w:cs="Arial"/>
          <w:b/>
          <w:sz w:val="28"/>
        </w:rPr>
        <w:t>3</w:t>
      </w:r>
      <w:r>
        <w:rPr>
          <w:rFonts w:ascii="Arial" w:eastAsia="DengXian" w:hAnsi="Arial" w:cs="Arial"/>
          <w:b/>
          <w:sz w:val="28"/>
        </w:rPr>
        <w:t>）动作空间</w:t>
      </w:r>
      <w:r>
        <w:rPr>
          <w:rFonts w:ascii="Arial" w:eastAsia="DengXian" w:hAnsi="Arial" w:cs="Arial"/>
          <w:b/>
          <w:sz w:val="28"/>
        </w:rPr>
        <w:t xml:space="preserve"> </w:t>
      </w:r>
      <m:oMath>
        <m:r>
          <m:rPr>
            <m:scr m:val="script"/>
          </m:rPr>
          <w:rPr>
            <w:rFonts w:ascii="Cambria Math" w:hAnsi="Cambria Math"/>
          </w:rPr>
          <m:t>A</m:t>
        </m:r>
      </m:oMath>
      <w:bookmarkEnd w:id="6"/>
    </w:p>
    <w:p w14:paraId="7262F61D" w14:textId="77777777" w:rsidR="00EF5C24" w:rsidRDefault="002E58C1">
      <w:pPr>
        <w:spacing w:before="120" w:after="120" w:line="288" w:lineRule="auto"/>
      </w:pPr>
      <w:r>
        <w:rPr>
          <w:rFonts w:ascii="Arial" w:eastAsia="DengXian" w:hAnsi="Arial" w:cs="Arial"/>
        </w:rPr>
        <w:t>扩展后为二维非负动作向量，对应两个渠道的订货量：</w:t>
      </w:r>
    </w:p>
    <w:p w14:paraId="5988B77C" w14:textId="77777777" w:rsidR="00EF5C24" w:rsidRDefault="002E58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t>
          </m:r>
        </m:oMath>
      </m:oMathPara>
    </w:p>
    <w:p w14:paraId="6CF4011C" w14:textId="77777777" w:rsidR="00EF5C24" w:rsidRDefault="002E58C1">
      <w:pPr>
        <w:spacing w:before="120" w:after="120" w:line="288" w:lineRule="auto"/>
      </w:pPr>
      <m:oMath>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≥0</m:t>
        </m:r>
      </m:oMath>
      <w:r>
        <w:rPr>
          <w:rFonts w:ascii="Arial" w:eastAsia="DengXian" w:hAnsi="Arial" w:cs="Arial"/>
        </w:rPr>
        <w:t>：常规渠道第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期订货量，提前期为</w:t>
      </w:r>
      <w:r>
        <w:rPr>
          <w:rFonts w:ascii="Arial" w:eastAsia="DengXian" w:hAnsi="Arial" w:cs="Arial"/>
        </w:rPr>
        <w:t xml:space="preserve"> </w:t>
      </w:r>
      <m:oMath>
        <m:r>
          <w:rPr>
            <w:rFonts w:ascii="Cambria Math" w:hAnsi="Cambria Math"/>
          </w:rPr>
          <m:t>L</m:t>
        </m:r>
      </m:oMath>
      <w:r>
        <w:rPr>
          <w:rFonts w:ascii="Arial" w:eastAsia="DengXian" w:hAnsi="Arial" w:cs="Arial"/>
        </w:rPr>
        <w:t>，存在全有或全无良率风险；</w:t>
      </w:r>
    </w:p>
    <w:p w14:paraId="67DB930B" w14:textId="77777777" w:rsidR="00EF5C24" w:rsidRDefault="002E58C1">
      <w:pPr>
        <w:spacing w:before="120" w:after="120" w:line="288" w:lineRule="auto"/>
      </w:pPr>
      <m:oMath>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≥0</m:t>
        </m:r>
      </m:oMath>
      <w:r>
        <w:rPr>
          <w:rFonts w:ascii="Arial" w:eastAsia="DengXian" w:hAnsi="Arial" w:cs="Arial"/>
        </w:rPr>
        <w:t>：应急渠道第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期订货量，提前期为</w:t>
      </w:r>
      <w:r>
        <w:rPr>
          <w:rFonts w:ascii="Arial" w:eastAsia="DengXian" w:hAnsi="Arial" w:cs="Arial"/>
        </w:rPr>
        <w:t xml:space="preserve"> </w:t>
      </w:r>
      <m:oMath>
        <m:r>
          <w:rPr>
            <w:rFonts w:ascii="Cambria Math" w:hAnsi="Cambria Math"/>
          </w:rPr>
          <m:t>0</m:t>
        </m:r>
      </m:oMath>
      <w:r>
        <w:rPr>
          <w:rFonts w:ascii="Arial" w:eastAsia="DengXian" w:hAnsi="Arial" w:cs="Arial"/>
        </w:rPr>
        <w:t>（当期到货），良率恒为</w:t>
      </w:r>
      <w:r>
        <w:rPr>
          <w:rFonts w:ascii="Arial" w:eastAsia="DengXian" w:hAnsi="Arial" w:cs="Arial"/>
        </w:rPr>
        <w:t>1</w:t>
      </w:r>
      <w:r>
        <w:rPr>
          <w:rFonts w:ascii="Arial" w:eastAsia="DengXian" w:hAnsi="Arial" w:cs="Arial"/>
        </w:rPr>
        <w:t>，无供应风险。</w:t>
      </w:r>
    </w:p>
    <w:p w14:paraId="6DA50135" w14:textId="77777777" w:rsidR="00EF5C24" w:rsidRDefault="002E58C1">
      <w:pPr>
        <w:spacing w:before="260" w:after="120" w:line="288" w:lineRule="auto"/>
        <w:outlineLvl w:val="3"/>
      </w:pPr>
      <w:bookmarkStart w:id="7" w:name="heading_7"/>
      <w:r>
        <w:rPr>
          <w:rFonts w:ascii="Arial" w:eastAsia="DengXian" w:hAnsi="Arial" w:cs="Arial"/>
          <w:b/>
          <w:sz w:val="28"/>
        </w:rPr>
        <w:t>（</w:t>
      </w:r>
      <w:r>
        <w:rPr>
          <w:rFonts w:ascii="Arial" w:eastAsia="DengXian" w:hAnsi="Arial" w:cs="Arial"/>
          <w:b/>
          <w:sz w:val="28"/>
        </w:rPr>
        <w:t>4</w:t>
      </w:r>
      <w:r>
        <w:rPr>
          <w:rFonts w:ascii="Arial" w:eastAsia="DengXian" w:hAnsi="Arial" w:cs="Arial"/>
          <w:b/>
          <w:sz w:val="28"/>
        </w:rPr>
        <w:t>）随机过程</w:t>
      </w:r>
      <w:bookmarkEnd w:id="7"/>
    </w:p>
    <w:p w14:paraId="6E2C43E4" w14:textId="77777777" w:rsidR="00EF5C24" w:rsidRDefault="002E58C1">
      <w:pPr>
        <w:spacing w:before="120" w:after="120" w:line="288" w:lineRule="auto"/>
      </w:pPr>
      <w:r>
        <w:rPr>
          <w:rFonts w:ascii="Arial" w:eastAsia="DengXian" w:hAnsi="Arial" w:cs="Arial"/>
        </w:rPr>
        <w:t>系统包含两类独立的随机扰动：</w:t>
      </w:r>
    </w:p>
    <w:p w14:paraId="33356269" w14:textId="77777777" w:rsidR="00EF5C24" w:rsidRDefault="002E58C1">
      <w:pPr>
        <w:spacing w:before="120" w:after="120" w:line="288" w:lineRule="auto"/>
      </w:pPr>
      <w:r>
        <w:rPr>
          <w:rFonts w:ascii="Arial" w:eastAsia="DengXian" w:hAnsi="Arial" w:cs="Arial"/>
          <w:b/>
        </w:rPr>
        <w:t xml:space="preserve">1. </w:t>
      </w:r>
      <w:r>
        <w:rPr>
          <w:rFonts w:ascii="Arial" w:eastAsia="DengXian" w:hAnsi="Arial" w:cs="Arial"/>
          <w:b/>
        </w:rPr>
        <w:t>时变需求</w:t>
      </w:r>
      <w:r>
        <w:rPr>
          <w:rFonts w:ascii="Arial" w:eastAsia="DengXian" w:hAnsi="Arial" w:cs="Arial"/>
        </w:rPr>
        <w:t>：第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期需求</w:t>
      </w:r>
      <w:r>
        <w:rPr>
          <w:rFonts w:ascii="Arial" w:eastAsia="DengXian" w:hAnsi="Arial" w:cs="Arial"/>
        </w:rP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Pr>
          <w:rFonts w:ascii="Arial" w:eastAsia="DengXian" w:hAnsi="Arial" w:cs="Arial"/>
        </w:rPr>
        <w:t xml:space="preserve"> </w:t>
      </w:r>
      <w:r>
        <w:rPr>
          <w:rFonts w:ascii="Arial" w:eastAsia="DengXian" w:hAnsi="Arial" w:cs="Arial"/>
        </w:rPr>
        <w:t>服从时变正态分布</w:t>
      </w:r>
    </w:p>
    <w:p w14:paraId="220D353B"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cr m:val="script"/>
            </m:rPr>
            <w:rPr>
              <w:rFonts w:ascii="Cambria Math" w:hAnsi="Cambria Math"/>
            </w:rPr>
            <m:t>∼N</m:t>
          </m:r>
          <m:d>
            <m:dPr>
              <m:ctrlPr>
                <w:rPr>
                  <w:rFonts w:ascii="Cambria Math" w:hAnsi="Cambria Math"/>
                </w:rPr>
              </m:ctrlPr>
            </m:dPr>
            <m:e>
              <m:r>
                <w:rPr>
                  <w:rFonts w:ascii="Cambria Math" w:hAnsi="Cambria Math"/>
                </w:rPr>
                <m:t>μ(t),σ(t</m:t>
              </m:r>
              <m:sSup>
                <m:sSupPr>
                  <m:ctrlPr>
                    <w:rPr>
                      <w:rFonts w:ascii="Cambria Math" w:hAnsi="Cambria Math"/>
                    </w:rPr>
                  </m:ctrlPr>
                </m:sSupPr>
                <m:e>
                  <m:r>
                    <w:rPr>
                      <w:rFonts w:ascii="Cambria Math" w:hAnsi="Cambria Math"/>
                    </w:rPr>
                    <m:t>)</m:t>
                  </m:r>
                </m:e>
                <m:sup>
                  <m:r>
                    <w:rPr>
                      <w:rFonts w:ascii="Cambria Math" w:hAnsi="Cambria Math"/>
                    </w:rPr>
                    <m:t>2</m:t>
                  </m:r>
                </m:sup>
              </m:sSup>
            </m:e>
          </m:d>
        </m:oMath>
      </m:oMathPara>
    </w:p>
    <w:p w14:paraId="6FBFDF2A" w14:textId="77777777" w:rsidR="00EF5C24" w:rsidRDefault="002E58C1">
      <w:pPr>
        <w:spacing w:before="120" w:after="120" w:line="288" w:lineRule="auto"/>
      </w:pPr>
      <w:r>
        <w:rPr>
          <w:rFonts w:ascii="Arial" w:eastAsia="DengXian" w:hAnsi="Arial" w:cs="Arial"/>
        </w:rPr>
        <w:t>其中均值与标准差均随时间呈正弦周期变化：</w:t>
      </w:r>
    </w:p>
    <w:p w14:paraId="2EE13A15" w14:textId="77777777" w:rsidR="00EF5C24" w:rsidRDefault="002E58C1">
      <w:pPr>
        <w:spacing w:before="120" w:after="120" w:line="288" w:lineRule="auto"/>
      </w:pPr>
      <m:oMathPara>
        <m:oMathParaPr>
          <m:jc m:val="left"/>
        </m:oMathParaPr>
        <m:oMath>
          <m:r>
            <w:rPr>
              <w:rFonts w:ascii="Cambria Math" w:hAnsi="Cambria Math"/>
            </w:rPr>
            <m:t>μ(t)=</m:t>
          </m:r>
          <m:sSub>
            <m:sSubPr>
              <m:ctrlPr>
                <w:rPr>
                  <w:rFonts w:ascii="Cambria Math" w:hAnsi="Cambria Math"/>
                </w:rPr>
              </m:ctrlPr>
            </m:sSubPr>
            <m:e>
              <m:r>
                <w:rPr>
                  <w:rFonts w:ascii="Cambria Math" w:hAnsi="Cambria Math"/>
                </w:rPr>
                <m:t>μ</m:t>
              </m:r>
            </m:e>
            <m:sub>
              <m:r>
                <w:rPr>
                  <w:rFonts w:ascii="Cambria Math" w:hAnsi="Cambria Math"/>
                </w:rPr>
                <m:t>base</m:t>
              </m:r>
            </m:sub>
          </m:sSub>
          <m:r>
            <w:rPr>
              <w:rFonts w:ascii="Cambria Math" w:hAnsi="Cambria Math"/>
            </w:rPr>
            <m:t>+A⋅</m:t>
          </m:r>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τ</m:t>
                  </m:r>
                </m:den>
              </m:f>
            </m:e>
          </m:d>
          <m:r>
            <w:rPr>
              <w:rFonts w:ascii="Cambria Math" w:hAnsi="Cambria Math"/>
            </w:rPr>
            <m:t>,σ(t)=cv⋅μ(t)</m:t>
          </m:r>
        </m:oMath>
      </m:oMathPara>
    </w:p>
    <w:p w14:paraId="117DF9CB" w14:textId="77777777" w:rsidR="00EF5C24" w:rsidRDefault="002E58C1">
      <w:pPr>
        <w:spacing w:before="120" w:after="120" w:line="288" w:lineRule="auto"/>
      </w:pPr>
      <m:oMath>
        <m:sSub>
          <m:sSubPr>
            <m:ctrlPr>
              <w:rPr>
                <w:rFonts w:ascii="Cambria Math" w:hAnsi="Cambria Math"/>
              </w:rPr>
            </m:ctrlPr>
          </m:sSubPr>
          <m:e>
            <m:r>
              <w:rPr>
                <w:rFonts w:ascii="Cambria Math" w:hAnsi="Cambria Math"/>
              </w:rPr>
              <m:t>μ</m:t>
            </m:r>
          </m:e>
          <m:sub>
            <m:r>
              <w:rPr>
                <w:rFonts w:ascii="Cambria Math" w:hAnsi="Cambria Math"/>
              </w:rPr>
              <m:t>base</m:t>
            </m:r>
          </m:sub>
        </m:sSub>
      </m:oMath>
      <w:r>
        <w:rPr>
          <w:rFonts w:ascii="Arial" w:eastAsia="DengXian" w:hAnsi="Arial" w:cs="Arial"/>
        </w:rPr>
        <w:t xml:space="preserve"> </w:t>
      </w:r>
      <w:r>
        <w:rPr>
          <w:rFonts w:ascii="Arial" w:eastAsia="DengXian" w:hAnsi="Arial" w:cs="Arial"/>
        </w:rPr>
        <w:t>为基准需求，</w:t>
      </w:r>
      <m:oMath>
        <m:r>
          <w:rPr>
            <w:rFonts w:ascii="Cambria Math" w:hAnsi="Cambria Math"/>
          </w:rPr>
          <m:t>A</m:t>
        </m:r>
      </m:oMath>
      <w:r>
        <w:rPr>
          <w:rFonts w:ascii="Arial" w:eastAsia="DengXian" w:hAnsi="Arial" w:cs="Arial"/>
        </w:rPr>
        <w:t xml:space="preserve"> </w:t>
      </w:r>
      <w:r>
        <w:rPr>
          <w:rFonts w:ascii="Arial" w:eastAsia="DengXian" w:hAnsi="Arial" w:cs="Arial"/>
        </w:rPr>
        <w:t>为波动振幅，</w:t>
      </w:r>
      <m:oMath>
        <m:r>
          <w:rPr>
            <w:rFonts w:ascii="Cambria Math" w:hAnsi="Cambria Math"/>
          </w:rPr>
          <m:t>τ</m:t>
        </m:r>
      </m:oMath>
      <w:r>
        <w:rPr>
          <w:rFonts w:ascii="Arial" w:eastAsia="DengXian" w:hAnsi="Arial" w:cs="Arial"/>
        </w:rPr>
        <w:t xml:space="preserve"> </w:t>
      </w:r>
      <w:r>
        <w:rPr>
          <w:rFonts w:ascii="Arial" w:eastAsia="DengXian" w:hAnsi="Arial" w:cs="Arial"/>
        </w:rPr>
        <w:t>为周期长度，</w:t>
      </w:r>
      <m:oMath>
        <m:r>
          <w:rPr>
            <w:rFonts w:ascii="Cambria Math" w:hAnsi="Cambria Math"/>
          </w:rPr>
          <m:t>cv</m:t>
        </m:r>
      </m:oMath>
      <w:r>
        <w:rPr>
          <w:rFonts w:ascii="Arial" w:eastAsia="DengXian" w:hAnsi="Arial" w:cs="Arial"/>
        </w:rPr>
        <w:t xml:space="preserve"> </w:t>
      </w:r>
      <w:r>
        <w:rPr>
          <w:rFonts w:ascii="Arial" w:eastAsia="DengXian" w:hAnsi="Arial" w:cs="Arial"/>
        </w:rPr>
        <w:t>为变异系数。</w:t>
      </w:r>
    </w:p>
    <w:p w14:paraId="28E4A322" w14:textId="77777777" w:rsidR="00EF5C24" w:rsidRDefault="002E58C1">
      <w:pPr>
        <w:spacing w:before="120" w:after="120" w:line="288" w:lineRule="auto"/>
      </w:pPr>
      <w:r>
        <w:rPr>
          <w:rFonts w:ascii="Arial" w:eastAsia="DengXian" w:hAnsi="Arial" w:cs="Arial"/>
          <w:b/>
        </w:rPr>
        <w:t xml:space="preserve">2. </w:t>
      </w:r>
      <w:r>
        <w:rPr>
          <w:rFonts w:ascii="Arial" w:eastAsia="DengXian" w:hAnsi="Arial" w:cs="Arial"/>
          <w:b/>
        </w:rPr>
        <w:t>常规渠道良率</w:t>
      </w:r>
      <w:r>
        <w:rPr>
          <w:rFonts w:ascii="Arial" w:eastAsia="DengXian" w:hAnsi="Arial" w:cs="Arial"/>
        </w:rPr>
        <w:t>：第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期到货的常规订单良率</w:t>
      </w:r>
      <w:r>
        <w:rPr>
          <w:rFonts w:ascii="Arial" w:eastAsia="DengXian" w:hAnsi="Arial" w:cs="Arial"/>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Arial" w:eastAsia="DengXian" w:hAnsi="Arial" w:cs="Arial"/>
        </w:rPr>
        <w:t xml:space="preserve"> </w:t>
      </w:r>
      <w:r>
        <w:rPr>
          <w:rFonts w:ascii="Arial" w:eastAsia="DengXian" w:hAnsi="Arial" w:cs="Arial"/>
        </w:rPr>
        <w:t>服从伯努利分布</w:t>
      </w:r>
    </w:p>
    <w:p w14:paraId="665326A4"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nor/>
            </m:rPr>
            <w:rPr>
              <w:rFonts w:ascii="Cambria Math" w:hAnsi="Cambria Math"/>
            </w:rPr>
            <m:t>Bernoulli</m:t>
          </m:r>
          <m:r>
            <w:rPr>
              <w:rFonts w:ascii="Cambria Math" w:hAnsi="Cambria Math"/>
            </w:rPr>
            <m:t>(p)</m:t>
          </m:r>
        </m:oMath>
      </m:oMathPara>
    </w:p>
    <w:p w14:paraId="1EFE52DF" w14:textId="77777777" w:rsidR="00EF5C24" w:rsidRDefault="002E58C1">
      <w:pPr>
        <w:spacing w:before="120" w:after="120" w:line="288" w:lineRule="auto"/>
      </w:pPr>
      <m:oMath>
        <m:r>
          <w:rPr>
            <w:rFonts w:ascii="Cambria Math" w:hAnsi="Cambria Math"/>
          </w:rPr>
          <m:t>p</m:t>
        </m:r>
      </m:oMath>
      <w:r>
        <w:rPr>
          <w:rFonts w:ascii="Arial" w:eastAsia="DengXian" w:hAnsi="Arial" w:cs="Arial"/>
        </w:rPr>
        <w:t xml:space="preserve"> </w:t>
      </w:r>
      <w:r>
        <w:rPr>
          <w:rFonts w:ascii="Arial" w:eastAsia="DengXian" w:hAnsi="Arial" w:cs="Arial"/>
        </w:rPr>
        <w:t>为订单成功概率，成功则整批入库，失败则整批报废。应急渠道良率恒为</w:t>
      </w:r>
      <w:r>
        <w:rPr>
          <w:rFonts w:ascii="Arial" w:eastAsia="DengXian" w:hAnsi="Arial" w:cs="Arial"/>
        </w:rPr>
        <w:t>1</w:t>
      </w:r>
      <w:r>
        <w:rPr>
          <w:rFonts w:ascii="Arial" w:eastAsia="DengXian" w:hAnsi="Arial" w:cs="Arial"/>
        </w:rPr>
        <w:t>，无随机扰动。</w:t>
      </w:r>
    </w:p>
    <w:p w14:paraId="1DBE0111" w14:textId="77777777" w:rsidR="00EF5C24" w:rsidRDefault="002E58C1">
      <w:pPr>
        <w:spacing w:before="260" w:after="120" w:line="288" w:lineRule="auto"/>
        <w:outlineLvl w:val="3"/>
      </w:pPr>
      <w:bookmarkStart w:id="8" w:name="heading_8"/>
      <w:r>
        <w:rPr>
          <w:rFonts w:ascii="Arial" w:eastAsia="DengXian" w:hAnsi="Arial" w:cs="Arial"/>
          <w:b/>
          <w:sz w:val="28"/>
        </w:rPr>
        <w:t>（</w:t>
      </w:r>
      <w:r>
        <w:rPr>
          <w:rFonts w:ascii="Arial" w:eastAsia="DengXian" w:hAnsi="Arial" w:cs="Arial"/>
          <w:b/>
          <w:sz w:val="28"/>
        </w:rPr>
        <w:t>5</w:t>
      </w:r>
      <w:r>
        <w:rPr>
          <w:rFonts w:ascii="Arial" w:eastAsia="DengXian" w:hAnsi="Arial" w:cs="Arial"/>
          <w:b/>
          <w:sz w:val="28"/>
        </w:rPr>
        <w:t>）单期成本函数</w:t>
      </w:r>
      <w:bookmarkEnd w:id="8"/>
    </w:p>
    <w:p w14:paraId="1D3BAAAA" w14:textId="77777777" w:rsidR="00EF5C24" w:rsidRDefault="002E58C1">
      <w:pPr>
        <w:spacing w:before="120" w:after="120" w:line="288" w:lineRule="auto"/>
      </w:pPr>
      <w:r>
        <w:rPr>
          <w:rFonts w:ascii="Arial" w:eastAsia="DengXian" w:hAnsi="Arial" w:cs="Arial"/>
        </w:rPr>
        <w:t>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期的折扣成本包含采购成本、持有成本与缺货惩罚三部分：</w:t>
      </w:r>
    </w:p>
    <w:p w14:paraId="150F0C29"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t</m:t>
              </m:r>
            </m:sup>
          </m:sSup>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+b⋅(-</m:t>
              </m:r>
              <m:sSub>
                <m:sSubPr>
                  <m:ctrlPr>
                    <w:rPr>
                      <w:rFonts w:ascii="Cambria Math" w:hAnsi="Cambria Math"/>
                    </w:rPr>
                  </m:ctrlPr>
                </m:sSubPr>
                <m:e>
                  <m:r>
                    <w:rPr>
                      <w:rFonts w:ascii="Cambria Math" w:hAnsi="Cambria Math"/>
                    </w:rPr>
                    <m:t>I</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m:t>
                  </m:r>
                </m:sup>
              </m:sSup>
            </m:e>
          </m:d>
        </m:oMath>
      </m:oMathPara>
    </w:p>
    <w:p w14:paraId="7D52308C" w14:textId="77777777" w:rsidR="00EF5C24" w:rsidRDefault="002E58C1">
      <w:pPr>
        <w:spacing w:before="120" w:after="120" w:line="288" w:lineRule="auto"/>
      </w:pPr>
      <w:r>
        <w:rPr>
          <w:rFonts w:ascii="Arial" w:eastAsia="DengXian" w:hAnsi="Arial" w:cs="Arial"/>
        </w:rPr>
        <w:t>其中</w:t>
      </w:r>
      <w:r>
        <w:rPr>
          <w:rFonts w:ascii="Arial" w:eastAsia="DengXian" w:hAnsi="Arial" w:cs="Arial"/>
        </w:rPr>
        <w:t xml:space="preserve"> </w:t>
      </w:r>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=max(x,0)</m:t>
        </m:r>
      </m:oMath>
      <w:r>
        <w:rPr>
          <w:rFonts w:ascii="Arial" w:eastAsia="DengXian" w:hAnsi="Arial" w:cs="Arial"/>
        </w:rPr>
        <w:t xml:space="preserve"> </w:t>
      </w:r>
      <w:r>
        <w:rPr>
          <w:rFonts w:ascii="Arial" w:eastAsia="DengXian" w:hAnsi="Arial" w:cs="Arial"/>
        </w:rPr>
        <w:t>为正部算子；</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rFonts w:ascii="Arial" w:eastAsia="DengXian" w:hAnsi="Arial" w:cs="Arial"/>
        </w:rPr>
        <w:t xml:space="preserve"> </w:t>
      </w:r>
      <w:r>
        <w:rPr>
          <w:rFonts w:ascii="Arial" w:eastAsia="DengXian" w:hAnsi="Arial" w:cs="Arial"/>
        </w:rPr>
        <w:t>为常规渠道单位采购成本，</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rFonts w:ascii="Arial" w:eastAsia="DengXian" w:hAnsi="Arial" w:cs="Arial"/>
        </w:rPr>
        <w:t xml:space="preserve"> </w:t>
      </w:r>
      <w:r>
        <w:rPr>
          <w:rFonts w:ascii="Arial" w:eastAsia="DengXian" w:hAnsi="Arial" w:cs="Arial"/>
        </w:rPr>
        <w:t>为应急渠道单位采购成本，</w:t>
      </w:r>
      <m:oMath>
        <m:r>
          <w:rPr>
            <w:rFonts w:ascii="Cambria Math" w:hAnsi="Cambria Math"/>
          </w:rPr>
          <m:t>h</m:t>
        </m:r>
      </m:oMath>
      <w:r>
        <w:rPr>
          <w:rFonts w:ascii="Arial" w:eastAsia="DengXian" w:hAnsi="Arial" w:cs="Arial"/>
        </w:rPr>
        <w:t xml:space="preserve"> </w:t>
      </w:r>
      <w:r>
        <w:rPr>
          <w:rFonts w:ascii="Arial" w:eastAsia="DengXian" w:hAnsi="Arial" w:cs="Arial"/>
        </w:rPr>
        <w:t>为单位持有成本，</w:t>
      </w:r>
      <m:oMath>
        <m:r>
          <w:rPr>
            <w:rFonts w:ascii="Cambria Math" w:hAnsi="Cambria Math"/>
          </w:rPr>
          <m:t>b</m:t>
        </m:r>
      </m:oMath>
      <w:r>
        <w:rPr>
          <w:rFonts w:ascii="Arial" w:eastAsia="DengXian" w:hAnsi="Arial" w:cs="Arial"/>
        </w:rPr>
        <w:t xml:space="preserve"> </w:t>
      </w:r>
      <w:r>
        <w:rPr>
          <w:rFonts w:ascii="Arial" w:eastAsia="DengXian" w:hAnsi="Arial" w:cs="Arial"/>
        </w:rPr>
        <w:t>为单位缺货惩罚成本。</w:t>
      </w:r>
    </w:p>
    <w:p w14:paraId="551D58C7" w14:textId="77777777" w:rsidR="00EF5C24" w:rsidRDefault="002E58C1">
      <w:pPr>
        <w:spacing w:before="120" w:after="120" w:line="288" w:lineRule="auto"/>
      </w:pPr>
      <w:r>
        <w:rPr>
          <w:rFonts w:ascii="Arial" w:eastAsia="DengXian" w:hAnsi="Arial" w:cs="Arial"/>
        </w:rPr>
        <w:t>经济约束满足：</w:t>
      </w:r>
    </w:p>
    <w:p w14:paraId="61E3B61D"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&lt;b</m:t>
          </m:r>
        </m:oMath>
      </m:oMathPara>
    </w:p>
    <w:p w14:paraId="77CE5EFB" w14:textId="77777777" w:rsidR="00EF5C24" w:rsidRDefault="002E58C1">
      <w:pPr>
        <w:spacing w:before="120" w:after="120" w:line="288" w:lineRule="auto"/>
      </w:pPr>
      <w:r>
        <w:rPr>
          <w:rFonts w:ascii="Arial" w:eastAsia="DengXian" w:hAnsi="Arial" w:cs="Arial"/>
        </w:rPr>
        <w:t>保证常规渠道的主采购地位与应急渠道的经济合理性。</w:t>
      </w:r>
    </w:p>
    <w:p w14:paraId="431ECB54" w14:textId="77777777" w:rsidR="00EF5C24" w:rsidRDefault="00EF5C24">
      <w:pPr>
        <w:pBdr>
          <w:bottom w:val="single" w:sz="0" w:space="0" w:color="DEE0E3"/>
          <w:between w:val="single" w:sz="0" w:space="0" w:color="DEE0E3"/>
        </w:pBdr>
        <w:spacing w:before="120" w:after="120" w:line="288" w:lineRule="auto"/>
      </w:pPr>
    </w:p>
    <w:p w14:paraId="0F6B3102" w14:textId="77777777" w:rsidR="00EF5C24" w:rsidRDefault="002E58C1">
      <w:pPr>
        <w:spacing w:before="300" w:after="120" w:line="288" w:lineRule="auto"/>
        <w:outlineLvl w:val="2"/>
      </w:pPr>
      <w:bookmarkStart w:id="9" w:name="heading_9"/>
      <w:r>
        <w:rPr>
          <w:rFonts w:ascii="Arial" w:eastAsia="DengXian" w:hAnsi="Arial" w:cs="Arial"/>
          <w:b/>
          <w:sz w:val="30"/>
        </w:rPr>
        <w:t xml:space="preserve">1.3 </w:t>
      </w:r>
      <w:r>
        <w:rPr>
          <w:rFonts w:ascii="Arial" w:eastAsia="DengXian" w:hAnsi="Arial" w:cs="Arial"/>
          <w:b/>
          <w:sz w:val="30"/>
        </w:rPr>
        <w:t>单步状态转移的完整时序</w:t>
      </w:r>
      <w:bookmarkEnd w:id="9"/>
    </w:p>
    <w:p w14:paraId="1E43C4E3" w14:textId="77777777" w:rsidR="00EF5C24" w:rsidRDefault="002E58C1">
      <w:pPr>
        <w:spacing w:before="120" w:after="120" w:line="288" w:lineRule="auto"/>
      </w:pPr>
      <w:r>
        <w:rPr>
          <w:rFonts w:ascii="Arial" w:eastAsia="DengXian" w:hAnsi="Arial" w:cs="Arial"/>
        </w:rPr>
        <w:lastRenderedPageBreak/>
        <w:t>单周期内的事件顺序严格对应代码仿真逻辑，共</w:t>
      </w:r>
      <w:r>
        <w:rPr>
          <w:rFonts w:ascii="Arial" w:eastAsia="DengXian" w:hAnsi="Arial" w:cs="Arial"/>
        </w:rPr>
        <w:t>6</w:t>
      </w:r>
      <w:r>
        <w:rPr>
          <w:rFonts w:ascii="Arial" w:eastAsia="DengXian" w:hAnsi="Arial" w:cs="Arial"/>
        </w:rPr>
        <w:t>个步骤：</w:t>
      </w:r>
    </w:p>
    <w:p w14:paraId="28E503EB"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①</w:t>
      </w:r>
      <w:r>
        <w:rPr>
          <w:rFonts w:ascii="Arial" w:eastAsia="DengXian" w:hAnsi="Arial" w:cs="Arial"/>
          <w:b/>
        </w:rPr>
        <w:t>：常规渠道到货</w:t>
      </w:r>
      <w:r>
        <w:rPr>
          <w:rFonts w:ascii="Arial" w:eastAsia="DengXian" w:hAnsi="Arial" w:cs="Arial"/>
        </w:rPr>
        <w:br/>
      </w:r>
      <w:r>
        <w:rPr>
          <w:rFonts w:ascii="Arial" w:eastAsia="DengXian" w:hAnsi="Arial" w:cs="Arial"/>
        </w:rPr>
        <w:t>第</w:t>
      </w:r>
      <w:r>
        <w:rPr>
          <w:rFonts w:ascii="Arial" w:eastAsia="DengXian" w:hAnsi="Arial" w:cs="Arial"/>
        </w:rPr>
        <w:t xml:space="preserve"> </w:t>
      </w:r>
      <m:oMath>
        <m:r>
          <w:rPr>
            <w:rFonts w:ascii="Cambria Math" w:hAnsi="Cambria Math"/>
          </w:rPr>
          <m:t>t-L</m:t>
        </m:r>
      </m:oMath>
      <w:r>
        <w:rPr>
          <w:rFonts w:ascii="Arial" w:eastAsia="DengXian" w:hAnsi="Arial" w:cs="Arial"/>
        </w:rPr>
        <w:t xml:space="preserve"> </w:t>
      </w:r>
      <w:r>
        <w:rPr>
          <w:rFonts w:ascii="Arial" w:eastAsia="DengXian" w:hAnsi="Arial" w:cs="Arial"/>
        </w:rPr>
        <w:t>期下达的常规订单到达，受当期良率</w:t>
      </w:r>
      <w:r>
        <w:rPr>
          <w:rFonts w:ascii="Arial" w:eastAsia="DengXian" w:hAnsi="Arial" w:cs="Arial"/>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Arial" w:eastAsia="DengXian" w:hAnsi="Arial" w:cs="Arial"/>
        </w:rPr>
        <w:t xml:space="preserve"> </w:t>
      </w:r>
      <w:r>
        <w:rPr>
          <w:rFonts w:ascii="Arial" w:eastAsia="DengXian" w:hAnsi="Arial" w:cs="Arial"/>
        </w:rPr>
        <w:t>影响，库存更新为：</w:t>
      </w:r>
    </w:p>
    <w:p w14:paraId="74D424D6" w14:textId="77777777" w:rsidR="00EF5C24" w:rsidRDefault="002E58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1,t-L</m:t>
              </m:r>
            </m:sub>
          </m:sSub>
        </m:oMath>
      </m:oMathPara>
    </w:p>
    <w:p w14:paraId="0996171D"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②</w:t>
      </w:r>
      <w:r>
        <w:rPr>
          <w:rFonts w:ascii="Arial" w:eastAsia="DengXian" w:hAnsi="Arial" w:cs="Arial"/>
          <w:b/>
        </w:rPr>
        <w:t>：状态观测与决策</w:t>
      </w:r>
      <w:r>
        <w:rPr>
          <w:rFonts w:ascii="Arial" w:eastAsia="DengXian" w:hAnsi="Arial" w:cs="Arial"/>
        </w:rPr>
        <w:br/>
      </w:r>
      <w:r>
        <w:rPr>
          <w:rFonts w:ascii="Arial" w:eastAsia="DengXian" w:hAnsi="Arial" w:cs="Arial"/>
        </w:rPr>
        <w:t>观测当前状态</w:t>
      </w:r>
      <w:r>
        <w:rPr>
          <w:rFonts w:ascii="Arial" w:eastAsia="DengXian" w:hAnsi="Arial" w:cs="Arial"/>
        </w:rPr>
        <w:t xml:space="preserve"> </w:t>
      </w:r>
      <m:oMath>
        <m:sSub>
          <m:sSubPr>
            <m:ctrlPr>
              <w:rPr>
                <w:rFonts w:ascii="Cambria Math" w:hAnsi="Cambria Math"/>
              </w:rPr>
            </m:ctrlPr>
          </m:sSubPr>
          <m:e>
            <m:r>
              <m:rPr>
                <m:sty m:val="b"/>
              </m:rPr>
              <w:rPr>
                <w:rFonts w:ascii="Cambria Math" w:hAnsi="Cambria Math"/>
              </w:rPr>
              <m:t>s</m:t>
            </m:r>
          </m:e>
          <m:sub>
            <m:r>
              <w:rPr>
                <w:rFonts w:ascii="Cambria Math" w:hAnsi="Cambria Math"/>
              </w:rPr>
              <m:t>t</m:t>
            </m:r>
          </m:sub>
        </m:sSub>
      </m:oMath>
      <w:r>
        <w:rPr>
          <w:rFonts w:ascii="Arial" w:eastAsia="DengXian" w:hAnsi="Arial" w:cs="Arial"/>
        </w:rPr>
        <w:t>，</w:t>
      </w:r>
      <w:r>
        <w:rPr>
          <w:rFonts w:ascii="Arial" w:eastAsia="DengXian" w:hAnsi="Arial" w:cs="Arial"/>
        </w:rPr>
        <w:t>DRL</w:t>
      </w:r>
      <w:r>
        <w:rPr>
          <w:rFonts w:ascii="Arial" w:eastAsia="DengXian" w:hAnsi="Arial" w:cs="Arial"/>
        </w:rPr>
        <w:t>智能体输出动作</w:t>
      </w:r>
      <w:r>
        <w:rPr>
          <w:rFonts w:ascii="Arial" w:eastAsia="DengXian" w:hAnsi="Arial" w:cs="Arial"/>
        </w:rP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m:t>
        </m:r>
      </m:oMath>
      <w:r>
        <w:rPr>
          <w:rFonts w:ascii="Arial" w:eastAsia="DengXian" w:hAnsi="Arial" w:cs="Arial"/>
        </w:rPr>
        <w:t>。</w:t>
      </w:r>
    </w:p>
    <w:p w14:paraId="5E016044"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③</w:t>
      </w:r>
      <w:r>
        <w:rPr>
          <w:rFonts w:ascii="Arial" w:eastAsia="DengXian" w:hAnsi="Arial" w:cs="Arial"/>
          <w:b/>
        </w:rPr>
        <w:t>：应急渠道即时入库</w:t>
      </w:r>
      <w:r>
        <w:rPr>
          <w:rFonts w:ascii="Arial" w:eastAsia="DengXian" w:hAnsi="Arial" w:cs="Arial"/>
        </w:rPr>
        <w:br/>
      </w:r>
      <w:r>
        <w:rPr>
          <w:rFonts w:ascii="Arial" w:eastAsia="DengXian" w:hAnsi="Arial" w:cs="Arial"/>
        </w:rPr>
        <w:t>应急订单零提前期，当期立即入库，库存更新为：</w:t>
      </w:r>
    </w:p>
    <w:p w14:paraId="75D6FB66" w14:textId="77777777" w:rsidR="00EF5C24" w:rsidRDefault="002E58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2,t</m:t>
              </m:r>
            </m:sub>
          </m:sSub>
        </m:oMath>
      </m:oMathPara>
    </w:p>
    <w:p w14:paraId="53776B12"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④</w:t>
      </w:r>
      <w:r>
        <w:rPr>
          <w:rFonts w:ascii="Arial" w:eastAsia="DengXian" w:hAnsi="Arial" w:cs="Arial"/>
          <w:b/>
        </w:rPr>
        <w:t>：需求消耗</w:t>
      </w:r>
      <w:r>
        <w:rPr>
          <w:rFonts w:ascii="Arial" w:eastAsia="DengXian" w:hAnsi="Arial" w:cs="Arial"/>
        </w:rPr>
        <w:br/>
      </w:r>
      <w:r>
        <w:rPr>
          <w:rFonts w:ascii="Arial" w:eastAsia="DengXian" w:hAnsi="Arial" w:cs="Arial"/>
        </w:rPr>
        <w:t>当期随机需求</w:t>
      </w:r>
      <w:r>
        <w:rPr>
          <w:rFonts w:ascii="Arial" w:eastAsia="DengXian" w:hAnsi="Arial" w:cs="Arial"/>
        </w:rPr>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oMath>
      <w:r>
        <w:rPr>
          <w:rFonts w:ascii="Arial" w:eastAsia="DengXian" w:hAnsi="Arial" w:cs="Arial"/>
        </w:rPr>
        <w:t xml:space="preserve"> </w:t>
      </w:r>
      <w:r>
        <w:rPr>
          <w:rFonts w:ascii="Arial" w:eastAsia="DengXian" w:hAnsi="Arial" w:cs="Arial"/>
        </w:rPr>
        <w:t>实现，库存被消耗，形成下一期初始库存：</w:t>
      </w:r>
    </w:p>
    <w:p w14:paraId="2753647D" w14:textId="77777777" w:rsidR="00EF5C24" w:rsidRDefault="002E58C1">
      <w:pPr>
        <w:spacing w:before="120" w:after="120" w:line="288" w:lineRule="auto"/>
      </w:pPr>
      <m:oMathPara>
        <m:oMathParaPr>
          <m:jc m:val="left"/>
        </m:oMathParaPr>
        <m:oMath>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p w14:paraId="4542C5CF"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⑤</w:t>
      </w:r>
      <w:r>
        <w:rPr>
          <w:rFonts w:ascii="Arial" w:eastAsia="DengXian" w:hAnsi="Arial" w:cs="Arial"/>
          <w:b/>
        </w:rPr>
        <w:t>：成本结算</w:t>
      </w:r>
      <w:r>
        <w:rPr>
          <w:rFonts w:ascii="Arial" w:eastAsia="DengXian" w:hAnsi="Arial" w:cs="Arial"/>
        </w:rPr>
        <w:br/>
      </w:r>
      <w:r>
        <w:rPr>
          <w:rFonts w:ascii="Arial" w:eastAsia="DengXian" w:hAnsi="Arial" w:cs="Arial"/>
        </w:rPr>
        <w:t>按单期成本函数计算第</w:t>
      </w:r>
      <w:r>
        <w:rPr>
          <w:rFonts w:ascii="Arial" w:eastAsia="DengXian" w:hAnsi="Arial" w:cs="Arial"/>
        </w:rPr>
        <w:t xml:space="preserve"> </w:t>
      </w:r>
      <m:oMath>
        <m:r>
          <w:rPr>
            <w:rFonts w:ascii="Cambria Math" w:hAnsi="Cambria Math"/>
          </w:rPr>
          <m:t>t</m:t>
        </m:r>
      </m:oMath>
      <w:r>
        <w:rPr>
          <w:rFonts w:ascii="Arial" w:eastAsia="DengXian" w:hAnsi="Arial" w:cs="Arial"/>
        </w:rPr>
        <w:t xml:space="preserve"> </w:t>
      </w:r>
      <w:r>
        <w:rPr>
          <w:rFonts w:ascii="Arial" w:eastAsia="DengXian" w:hAnsi="Arial" w:cs="Arial"/>
        </w:rPr>
        <w:t>期折扣成本，累计入回合总成本。</w:t>
      </w:r>
    </w:p>
    <w:p w14:paraId="2DAB6B18" w14:textId="77777777" w:rsidR="00EF5C24" w:rsidRDefault="002E58C1">
      <w:pPr>
        <w:spacing w:before="120" w:after="120" w:line="288" w:lineRule="auto"/>
      </w:pPr>
      <w:r>
        <w:rPr>
          <w:rFonts w:ascii="Arial" w:eastAsia="DengXian" w:hAnsi="Arial" w:cs="Arial"/>
          <w:b/>
        </w:rPr>
        <w:t>步骤</w:t>
      </w:r>
      <w:r>
        <w:rPr>
          <w:rFonts w:ascii="Arial" w:eastAsia="DengXian" w:hAnsi="Arial" w:cs="Arial"/>
          <w:b/>
        </w:rPr>
        <w:t>⑥</w:t>
      </w:r>
      <w:r>
        <w:rPr>
          <w:rFonts w:ascii="Arial" w:eastAsia="DengXian" w:hAnsi="Arial" w:cs="Arial"/>
          <w:b/>
        </w:rPr>
        <w:t>：在途队列滚动</w:t>
      </w:r>
      <w:r>
        <w:rPr>
          <w:rFonts w:ascii="Arial" w:eastAsia="DengXian" w:hAnsi="Arial" w:cs="Arial"/>
        </w:rPr>
        <w:br/>
      </w:r>
      <w:r>
        <w:rPr>
          <w:rFonts w:ascii="Arial" w:eastAsia="DengXian" w:hAnsi="Arial" w:cs="Arial"/>
        </w:rPr>
        <w:t>常规渠道新订单</w:t>
      </w:r>
      <w:r>
        <w:rPr>
          <w:rFonts w:ascii="Arial" w:eastAsia="DengXian" w:hAnsi="Arial" w:cs="Arial"/>
        </w:rPr>
        <w:t xml:space="preserve"> </w:t>
      </w:r>
      <m:oMath>
        <m:sSub>
          <m:sSubPr>
            <m:ctrlPr>
              <w:rPr>
                <w:rFonts w:ascii="Cambria Math" w:hAnsi="Cambria Math"/>
              </w:rPr>
            </m:ctrlPr>
          </m:sSubPr>
          <m:e>
            <m:r>
              <w:rPr>
                <w:rFonts w:ascii="Cambria Math" w:hAnsi="Cambria Math"/>
              </w:rPr>
              <m:t>q</m:t>
            </m:r>
          </m:e>
          <m:sub>
            <m:r>
              <w:rPr>
                <w:rFonts w:ascii="Cambria Math" w:hAnsi="Cambria Math"/>
              </w:rPr>
              <m:t>1,t</m:t>
            </m:r>
          </m:sub>
        </m:sSub>
      </m:oMath>
      <w:r>
        <w:rPr>
          <w:rFonts w:ascii="Arial" w:eastAsia="DengXian" w:hAnsi="Arial" w:cs="Arial"/>
        </w:rPr>
        <w:t xml:space="preserve"> </w:t>
      </w:r>
      <w:r>
        <w:rPr>
          <w:rFonts w:ascii="Arial" w:eastAsia="DengXian" w:hAnsi="Arial" w:cs="Arial"/>
        </w:rPr>
        <w:t>进入在途队尾，队首已到货订单移出，形成新的在途队列：</w:t>
      </w:r>
    </w:p>
    <w:p w14:paraId="243849D8" w14:textId="77777777" w:rsidR="00EF5C24" w:rsidRDefault="002E58C1">
      <w:pPr>
        <w:spacing w:before="120" w:after="120" w:line="288" w:lineRule="auto"/>
      </w:pPr>
      <m:oMathPara>
        <m:oMathParaPr>
          <m:jc m:val="left"/>
        </m:oMathParaPr>
        <m:oMath>
          <m:sSub>
            <m:sSubPr>
              <m:ctrlPr>
                <w:rPr>
                  <w:rFonts w:ascii="Cambria Math" w:hAnsi="Cambria Math"/>
                </w:rPr>
              </m:ctrlPr>
            </m:sSubPr>
            <m:e>
              <m:r>
                <m:rPr>
                  <m:sty m:val="b"/>
                </m:rPr>
                <w:rPr>
                  <w:rFonts w:ascii="Cambria Math" w:hAnsi="Cambria Math"/>
                </w:rPr>
                <m:t>q</m:t>
              </m:r>
            </m:e>
            <m:sub>
              <m:r>
                <w:rPr>
                  <w:rFonts w:ascii="Cambria Math" w:hAnsi="Cambria Math"/>
                </w:rPr>
                <m:t>t+1</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1,t-L+2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1,t-L+3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1,t</m:t>
                  </m:r>
                </m:sub>
              </m:sSub>
            </m:e>
          </m:d>
        </m:oMath>
      </m:oMathPara>
    </w:p>
    <w:p w14:paraId="1E7599F2" w14:textId="77777777" w:rsidR="00EF5C24" w:rsidRDefault="00EF5C24">
      <w:pPr>
        <w:pBdr>
          <w:bottom w:val="single" w:sz="0" w:space="0" w:color="DEE0E3"/>
          <w:between w:val="single" w:sz="0" w:space="0" w:color="DEE0E3"/>
        </w:pBdr>
        <w:spacing w:before="120" w:after="120" w:line="288" w:lineRule="auto"/>
      </w:pPr>
    </w:p>
    <w:p w14:paraId="209F8E6A" w14:textId="77777777" w:rsidR="00EF5C24" w:rsidRDefault="002E58C1">
      <w:pPr>
        <w:spacing w:before="300" w:after="120" w:line="288" w:lineRule="auto"/>
        <w:outlineLvl w:val="2"/>
      </w:pPr>
      <w:bookmarkStart w:id="10" w:name="heading_10"/>
      <w:r>
        <w:rPr>
          <w:rFonts w:ascii="Arial" w:eastAsia="DengXian" w:hAnsi="Arial" w:cs="Arial"/>
          <w:b/>
          <w:sz w:val="30"/>
        </w:rPr>
        <w:t xml:space="preserve">1.4 </w:t>
      </w:r>
      <w:r>
        <w:rPr>
          <w:rFonts w:ascii="Arial" w:eastAsia="DengXian" w:hAnsi="Arial" w:cs="Arial"/>
          <w:b/>
          <w:sz w:val="30"/>
        </w:rPr>
        <w:t>完整回合的目标函数</w:t>
      </w:r>
      <w:bookmarkEnd w:id="10"/>
    </w:p>
    <w:p w14:paraId="24274683" w14:textId="77777777" w:rsidR="00EF5C24" w:rsidRDefault="002E58C1">
      <w:pPr>
        <w:spacing w:before="120" w:after="120" w:line="288" w:lineRule="auto"/>
      </w:pPr>
      <w:r>
        <w:rPr>
          <w:rFonts w:ascii="Arial" w:eastAsia="DengXian" w:hAnsi="Arial" w:cs="Arial"/>
        </w:rPr>
        <w:t>一个完整回合的总期望折扣成本为：</w:t>
      </w:r>
    </w:p>
    <w:p w14:paraId="11C8C671" w14:textId="77777777" w:rsidR="00EF5C24" w:rsidRDefault="002E58C1">
      <w:pPr>
        <w:spacing w:before="120" w:after="120" w:line="288" w:lineRule="auto"/>
      </w:pPr>
      <m:oMathPara>
        <m:oMathParaPr>
          <m:jc m:val="left"/>
        </m:oMathParaPr>
        <m:oMath>
          <m:r>
            <w:rPr>
              <w:rFonts w:ascii="Cambria Math" w:hAnsi="Cambria Math"/>
            </w:rPr>
            <m:t>J(π)=</m:t>
          </m:r>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nary>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T-1</m:t>
                  </m:r>
                </m:sup>
                <m:e/>
              </m:nary>
              <m:sSup>
                <m:sSupPr>
                  <m:ctrlPr>
                    <w:rPr>
                      <w:rFonts w:ascii="Cambria Math" w:hAnsi="Cambria Math"/>
                    </w:rPr>
                  </m:ctrlPr>
                </m:sSupPr>
                <m:e>
                  <m:r>
                    <w:rPr>
                      <w:rFonts w:ascii="Cambria Math" w:hAnsi="Cambria Math"/>
                    </w:rPr>
                    <m:t>α</m:t>
                  </m:r>
                </m:e>
                <m:sup>
                  <m:r>
                    <w:rPr>
                      <w:rFonts w:ascii="Cambria Math" w:hAnsi="Cambria Math"/>
                    </w:rPr>
                    <m:t>t</m:t>
                  </m:r>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1,t-L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2,t</m:t>
                      </m:r>
                    </m:sub>
                  </m:sSub>
                  <m:r>
                    <w:rPr>
                      <w:rFonts w:ascii="Cambria Math" w:hAnsi="Cambria Math"/>
                    </w:rPr>
                    <m:t>+h(</m:t>
                  </m:r>
                  <m:sSub>
                    <m:sSubPr>
                      <m:ctrlPr>
                        <w:rPr>
                          <w:rFonts w:ascii="Cambria Math" w:hAnsi="Cambria Math"/>
                        </w:rPr>
                      </m:ctrlPr>
                    </m:sSubPr>
                    <m:e>
                      <m:r>
                        <w:rPr>
                          <w:rFonts w:ascii="Cambria Math" w:hAnsi="Cambria Math"/>
                        </w:rPr>
                        <m:t>I</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+b(-</m:t>
                  </m:r>
                  <m:sSub>
                    <m:sSubPr>
                      <m:ctrlPr>
                        <w:rPr>
                          <w:rFonts w:ascii="Cambria Math" w:hAnsi="Cambria Math"/>
                        </w:rPr>
                      </m:ctrlPr>
                    </m:sSubPr>
                    <m:e>
                      <m:r>
                        <w:rPr>
                          <w:rFonts w:ascii="Cambria Math" w:hAnsi="Cambria Math"/>
                        </w:rPr>
                        <m:t>I</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m:t>
                      </m:r>
                    </m:sup>
                  </m:sSup>
                </m:e>
              </m:d>
            </m:e>
          </m:d>
        </m:oMath>
      </m:oMathPara>
    </w:p>
    <w:p w14:paraId="5E718F07" w14:textId="77777777" w:rsidR="00EF5C24" w:rsidRDefault="002E58C1">
      <w:pPr>
        <w:spacing w:before="120" w:after="120" w:line="288" w:lineRule="auto"/>
      </w:pPr>
      <w:r>
        <w:rPr>
          <w:rFonts w:ascii="Arial" w:eastAsia="DengXian" w:hAnsi="Arial" w:cs="Arial"/>
        </w:rPr>
        <w:t>DRL</w:t>
      </w:r>
      <w:r>
        <w:rPr>
          <w:rFonts w:ascii="Arial" w:eastAsia="DengXian" w:hAnsi="Arial" w:cs="Arial"/>
        </w:rPr>
        <w:t>的优化目标是寻找最优策略</w:t>
      </w:r>
      <w:r>
        <w:rPr>
          <w:rFonts w:ascii="Arial" w:eastAsia="DengXian" w:hAnsi="Arial" w:cs="Arial"/>
        </w:rPr>
        <w:t xml:space="preserve"> </w:t>
      </w:r>
      <m:oMath>
        <m:sSup>
          <m:sSupPr>
            <m:ctrlPr>
              <w:rPr>
                <w:rFonts w:ascii="Cambria Math" w:hAnsi="Cambria Math"/>
              </w:rPr>
            </m:ctrlPr>
          </m:sSupPr>
          <m:e>
            <m:r>
              <w:rPr>
                <w:rFonts w:ascii="Cambria Math" w:hAnsi="Cambria Math"/>
              </w:rPr>
              <m:t>π</m:t>
            </m:r>
          </m:e>
          <m:sup>
            <m:r>
              <w:rPr>
                <w:rFonts w:ascii="Cambria Math" w:hAnsi="Cambria Math"/>
              </w:rPr>
              <m:t>*</m:t>
            </m:r>
          </m:sup>
        </m:sSup>
        <m:r>
          <m:rPr>
            <m:scr m:val="script"/>
          </m:rPr>
          <w:rPr>
            <w:rFonts w:ascii="Cambria Math" w:hAnsi="Cambria Math"/>
          </w:rPr>
          <m:t>:S→A</m:t>
        </m:r>
      </m:oMath>
      <w:r>
        <w:rPr>
          <w:rFonts w:ascii="Arial" w:eastAsia="DengXian" w:hAnsi="Arial" w:cs="Arial"/>
        </w:rPr>
        <w:t>，使得总期望成本</w:t>
      </w:r>
      <w:r>
        <w:rPr>
          <w:rFonts w:ascii="Arial" w:eastAsia="DengXian" w:hAnsi="Arial" w:cs="Arial"/>
        </w:rPr>
        <w:t xml:space="preserve"> </w:t>
      </w:r>
      <m:oMath>
        <m:r>
          <w:rPr>
            <w:rFonts w:ascii="Cambria Math" w:hAnsi="Cambria Math"/>
          </w:rPr>
          <m:t>J(π)</m:t>
        </m:r>
      </m:oMath>
      <w:r>
        <w:rPr>
          <w:rFonts w:ascii="Arial" w:eastAsia="DengXian" w:hAnsi="Arial" w:cs="Arial"/>
        </w:rPr>
        <w:t xml:space="preserve"> </w:t>
      </w:r>
      <w:r>
        <w:rPr>
          <w:rFonts w:ascii="Arial" w:eastAsia="DengXian" w:hAnsi="Arial" w:cs="Arial"/>
        </w:rPr>
        <w:t>最小。</w:t>
      </w:r>
    </w:p>
    <w:p w14:paraId="4588DF4D" w14:textId="77777777" w:rsidR="00EF5C24" w:rsidRDefault="00EF5C24">
      <w:pPr>
        <w:pBdr>
          <w:bottom w:val="single" w:sz="0" w:space="0" w:color="DEE0E3"/>
          <w:between w:val="single" w:sz="0" w:space="0" w:color="DEE0E3"/>
        </w:pBdr>
        <w:spacing w:before="120" w:after="120" w:line="288" w:lineRule="auto"/>
      </w:pPr>
    </w:p>
    <w:p w14:paraId="2EEB6C0F" w14:textId="77777777" w:rsidR="00EF5C24" w:rsidRDefault="002E58C1">
      <w:pPr>
        <w:spacing w:before="300" w:after="120" w:line="288" w:lineRule="auto"/>
        <w:outlineLvl w:val="2"/>
      </w:pPr>
      <w:bookmarkStart w:id="11" w:name="heading_11"/>
      <w:r>
        <w:rPr>
          <w:rFonts w:ascii="Arial" w:eastAsia="DengXian" w:hAnsi="Arial" w:cs="Arial"/>
          <w:b/>
          <w:sz w:val="30"/>
        </w:rPr>
        <w:t>1.5 DRL</w:t>
      </w:r>
      <w:r>
        <w:rPr>
          <w:rFonts w:ascii="Arial" w:eastAsia="DengXian" w:hAnsi="Arial" w:cs="Arial"/>
          <w:b/>
          <w:sz w:val="30"/>
        </w:rPr>
        <w:t>策略的参数化形式</w:t>
      </w:r>
      <w:bookmarkEnd w:id="11"/>
    </w:p>
    <w:p w14:paraId="189D422F" w14:textId="77777777" w:rsidR="00EF5C24" w:rsidRDefault="002E58C1">
      <w:pPr>
        <w:spacing w:before="120" w:after="120" w:line="288" w:lineRule="auto"/>
      </w:pPr>
      <w:r>
        <w:rPr>
          <w:rFonts w:ascii="Arial" w:eastAsia="DengXian" w:hAnsi="Arial" w:cs="Arial"/>
        </w:rPr>
        <w:t>扩展后的</w:t>
      </w:r>
      <w:r>
        <w:rPr>
          <w:rFonts w:ascii="Arial" w:eastAsia="DengXian" w:hAnsi="Arial" w:cs="Arial"/>
        </w:rPr>
        <w:t>DRL</w:t>
      </w:r>
      <w:r>
        <w:rPr>
          <w:rFonts w:ascii="Arial" w:eastAsia="DengXian" w:hAnsi="Arial" w:cs="Arial"/>
        </w:rPr>
        <w:t>采用</w:t>
      </w:r>
      <w:r>
        <w:rPr>
          <w:rFonts w:ascii="Arial" w:eastAsia="DengXian" w:hAnsi="Arial" w:cs="Arial"/>
          <w:b/>
        </w:rPr>
        <w:t>单</w:t>
      </w:r>
      <w:r>
        <w:rPr>
          <w:rFonts w:ascii="Arial" w:eastAsia="DengXian" w:hAnsi="Arial" w:cs="Arial"/>
          <w:b/>
        </w:rPr>
        <w:t>Agent</w:t>
      </w:r>
      <w:r>
        <w:rPr>
          <w:rFonts w:ascii="Arial" w:eastAsia="DengXian" w:hAnsi="Arial" w:cs="Arial"/>
          <w:b/>
        </w:rPr>
        <w:t>双输出</w:t>
      </w:r>
      <w:r>
        <w:rPr>
          <w:rFonts w:ascii="Arial" w:eastAsia="DengXian" w:hAnsi="Arial" w:cs="Arial"/>
        </w:rPr>
        <w:t>架构，共享特征提取网络，分别输出两类权重：</w:t>
      </w:r>
    </w:p>
    <w:p w14:paraId="6400CA88" w14:textId="77777777" w:rsidR="00EF5C24" w:rsidRDefault="002E58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1,t</m:t>
              </m:r>
            </m:sub>
            <m:sup>
              <m:r>
                <w:rPr>
                  <w:rFonts w:ascii="Cambria Math" w:hAnsi="Cambria Math"/>
                </w:rPr>
                <m:t>DRL</m:t>
              </m:r>
            </m:sup>
          </m:sSub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t</m:t>
                      </m:r>
                    </m:sub>
                  </m:sSub>
                  <m:r>
                    <m:rPr>
                      <m:sty m:val="b"/>
                    </m:rPr>
                    <w:rPr>
                      <w:rFonts w:ascii="Cambria Math" w:hAnsi="Cambria Math"/>
                    </w:rPr>
                    <m:t>A</m:t>
                  </m:r>
                </m:e>
              </m:d>
            </m:e>
            <m:sup>
              <m:r>
                <w:rPr>
                  <w:rFonts w:ascii="Cambria Math" w:hAnsi="Cambria Math"/>
                </w:rPr>
                <m:t>+</m:t>
              </m:r>
            </m:sup>
          </m:sSup>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oMath>
      </m:oMathPara>
    </w:p>
    <w:p w14:paraId="0D66ABDC" w14:textId="77777777" w:rsidR="00EF5C24" w:rsidRDefault="002E58C1">
      <w:pPr>
        <w:spacing w:before="120" w:after="120" w:line="288" w:lineRule="auto"/>
      </w:pPr>
      <m:oMathPara>
        <m:oMathParaPr>
          <m:jc m:val="left"/>
        </m:oMathParaPr>
        <m:oMath>
          <m:sSubSup>
            <m:sSubSupPr>
              <m:ctrlPr>
                <w:rPr>
                  <w:rFonts w:ascii="Cambria Math" w:hAnsi="Cambria Math"/>
                </w:rPr>
              </m:ctrlPr>
            </m:sSubSupPr>
            <m:e>
              <m:r>
                <w:rPr>
                  <w:rFonts w:ascii="Cambria Math" w:hAnsi="Cambria Math"/>
                </w:rPr>
                <m:t>q</m:t>
              </m:r>
            </m:e>
            <m:sub>
              <m:r>
                <w:rPr>
                  <w:rFonts w:ascii="Cambria Math" w:hAnsi="Cambria Math"/>
                </w:rPr>
                <m:t>2,t</m:t>
              </m:r>
            </m:sub>
            <m:sup>
              <m:r>
                <w:rPr>
                  <w:rFonts w:ascii="Cambria Math" w:hAnsi="Cambria Math"/>
                </w:rPr>
                <m:t>DRL</m:t>
              </m:r>
            </m:sup>
          </m:sSubSup>
          <m:r>
            <w:rPr>
              <w:rFonts w:ascii="Cambria Math" w:hAnsi="Cambria Math"/>
            </w:rPr>
            <m:t>=</m:t>
          </m:r>
          <m:d>
            <m:dPr>
              <m:ctrlPr>
                <w:rPr>
                  <w:rFonts w:ascii="Cambria Math" w:hAnsi="Cambria Math"/>
                </w:rPr>
              </m:ctrlPr>
            </m:dPr>
            <m:e>
              <m:r>
                <w:rPr>
                  <w:rFonts w:ascii="Cambria Math" w:hAnsi="Cambria Math"/>
                </w:rPr>
                <m:t>1+ϵ⋅tanh⁡(</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e>
          </m:d>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m:t>
                      </m:r>
                    </m:sup>
                  </m:sSubSup>
                </m:e>
              </m:d>
            </m:e>
            <m:sup>
              <m:r>
                <w:rPr>
                  <w:rFonts w:ascii="Cambria Math" w:hAnsi="Cambria Math"/>
                </w:rPr>
                <m:t>+</m:t>
              </m:r>
            </m:sup>
          </m:sSup>
        </m:oMath>
      </m:oMathPara>
    </w:p>
    <w:p w14:paraId="36DBD257" w14:textId="77777777" w:rsidR="00EF5C24" w:rsidRDefault="002E58C1">
      <w:pPr>
        <w:spacing w:before="120" w:after="120" w:line="288" w:lineRule="auto"/>
      </w:pPr>
      <w:r>
        <w:rPr>
          <w:rFonts w:ascii="Arial" w:eastAsia="DengXian" w:hAnsi="Arial" w:cs="Arial"/>
        </w:rPr>
        <w:t>其中：</w:t>
      </w:r>
    </w:p>
    <w:p w14:paraId="2A212F05" w14:textId="77777777" w:rsidR="00EF5C24" w:rsidRDefault="002E58C1">
      <w:pPr>
        <w:numPr>
          <w:ilvl w:val="0"/>
          <w:numId w:val="11"/>
        </w:numPr>
        <w:spacing w:before="120" w:after="120" w:line="288" w:lineRule="auto"/>
      </w:pPr>
      <w:r>
        <w:rPr>
          <w:rFonts w:ascii="Arial" w:eastAsia="DengXian" w:hAnsi="Arial" w:cs="Arial"/>
        </w:rPr>
        <w:t>常规渠道沿用原论文的路径加权结构，</w:t>
      </w:r>
      <m:oMath>
        <m:sSub>
          <m:sSubPr>
            <m:ctrlPr>
              <w:rPr>
                <w:rFonts w:ascii="Cambria Math" w:hAnsi="Cambria Math"/>
              </w:rPr>
            </m:ctrlPr>
          </m:sSubPr>
          <m:e>
            <m:r>
              <m:rPr>
                <m:sty m:val="b"/>
              </m:rP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oMath>
      <w:r>
        <w:rPr>
          <w:rFonts w:ascii="Arial" w:eastAsia="DengXian" w:hAnsi="Arial" w:cs="Arial"/>
        </w:rPr>
        <w:t xml:space="preserve"> </w:t>
      </w:r>
      <w:r>
        <w:rPr>
          <w:rFonts w:ascii="Arial" w:eastAsia="DengXian" w:hAnsi="Arial" w:cs="Arial"/>
        </w:rPr>
        <w:t>为状态依赖的</w:t>
      </w:r>
      <w:r>
        <w:rPr>
          <w:rFonts w:ascii="Arial" w:eastAsia="DengXian" w:hAnsi="Arial" w:cs="Arial"/>
        </w:rPr>
        <w:t xml:space="preserve"> </w:t>
      </w:r>
      <m:oMath>
        <m:sSup>
          <m:sSupPr>
            <m:ctrlPr>
              <w:rPr>
                <w:rFonts w:ascii="Cambria Math" w:hAnsi="Cambria Math"/>
              </w:rPr>
            </m:ctrlPr>
          </m:sSupPr>
          <m:e>
            <m:r>
              <w:rPr>
                <w:rFonts w:ascii="Cambria Math" w:hAnsi="Cambria Math"/>
              </w:rPr>
              <m:t>2</m:t>
            </m:r>
          </m:e>
          <m:sup>
            <m:r>
              <w:rPr>
                <w:rFonts w:ascii="Cambria Math" w:hAnsi="Cambria Math"/>
              </w:rPr>
              <m:t>L-1</m:t>
            </m:r>
          </m:sup>
        </m:sSup>
      </m:oMath>
      <w:r>
        <w:rPr>
          <w:rFonts w:ascii="Arial" w:eastAsia="DengXian" w:hAnsi="Arial" w:cs="Arial"/>
        </w:rPr>
        <w:t xml:space="preserve"> </w:t>
      </w:r>
      <w:r>
        <w:rPr>
          <w:rFonts w:ascii="Arial" w:eastAsia="DengXian" w:hAnsi="Arial" w:cs="Arial"/>
        </w:rPr>
        <w:t>维路径权重，在</w:t>
      </w:r>
      <w:r>
        <w:rPr>
          <w:rFonts w:ascii="Arial" w:eastAsia="DengXian" w:hAnsi="Arial" w:cs="Arial"/>
        </w:rPr>
        <w:lastRenderedPageBreak/>
        <w:t>WNH</w:t>
      </w:r>
      <w:r>
        <w:rPr>
          <w:rFonts w:ascii="Arial" w:eastAsia="DengXian" w:hAnsi="Arial" w:cs="Arial"/>
        </w:rPr>
        <w:t>教师权重的邻域内调整；</w:t>
      </w:r>
    </w:p>
    <w:p w14:paraId="56159D5E" w14:textId="77777777" w:rsidR="00EF5C24" w:rsidRDefault="002E58C1">
      <w:pPr>
        <w:numPr>
          <w:ilvl w:val="0"/>
          <w:numId w:val="12"/>
        </w:numPr>
        <w:spacing w:before="120" w:after="120" w:line="288" w:lineRule="auto"/>
      </w:pPr>
      <w:r>
        <w:rPr>
          <w:rFonts w:ascii="Arial" w:eastAsia="DengXian" w:hAnsi="Arial" w:cs="Arial"/>
        </w:rPr>
        <w:t>应急渠道以单期报童阈值</w:t>
      </w:r>
      <w:r>
        <w:rPr>
          <w:rFonts w:ascii="Arial" w:eastAsia="DengXian" w:hAnsi="Arial" w:cs="Arial"/>
        </w:rP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(t)</m:t>
        </m:r>
      </m:oMath>
      <w:r>
        <w:rPr>
          <w:rFonts w:ascii="Arial" w:eastAsia="DengXian" w:hAnsi="Arial" w:cs="Arial"/>
        </w:rPr>
        <w:t xml:space="preserve"> </w:t>
      </w:r>
      <w:r>
        <w:rPr>
          <w:rFonts w:ascii="Arial" w:eastAsia="DengXian" w:hAnsi="Arial" w:cs="Arial"/>
        </w:rPr>
        <w:t>为基准，通过标量权重</w:t>
      </w:r>
      <w:r>
        <w:rPr>
          <w:rFonts w:ascii="Arial" w:eastAsia="DengXian" w:hAnsi="Arial" w:cs="Arial"/>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t</m:t>
            </m:r>
          </m:sub>
        </m:sSub>
        <m:r>
          <w:rPr>
            <w:rFonts w:ascii="Cambria Math" w:hAnsi="Cambria Math"/>
          </w:rPr>
          <m:t>)</m:t>
        </m:r>
      </m:oMath>
      <w:r>
        <w:rPr>
          <w:rFonts w:ascii="Arial" w:eastAsia="DengXian" w:hAnsi="Arial" w:cs="Arial"/>
        </w:rPr>
        <w:t xml:space="preserve"> </w:t>
      </w:r>
      <w:r>
        <w:rPr>
          <w:rFonts w:ascii="Arial" w:eastAsia="DengXian" w:hAnsi="Arial" w:cs="Arial"/>
        </w:rPr>
        <w:t>在邻域范围内动态调整。</w:t>
      </w:r>
    </w:p>
    <w:p w14:paraId="16431517" w14:textId="77777777" w:rsidR="00EF5C24" w:rsidRDefault="00EF5C24">
      <w:pPr>
        <w:pBdr>
          <w:bottom w:val="single" w:sz="0" w:space="0" w:color="DEE0E3"/>
          <w:between w:val="single" w:sz="0" w:space="0" w:color="DEE0E3"/>
        </w:pBdr>
        <w:spacing w:before="120" w:after="120" w:line="288" w:lineRule="auto"/>
      </w:pPr>
    </w:p>
    <w:p w14:paraId="268CC316" w14:textId="77777777" w:rsidR="00EF5C24" w:rsidRDefault="002E58C1">
      <w:pPr>
        <w:spacing w:before="320" w:after="120" w:line="288" w:lineRule="auto"/>
        <w:outlineLvl w:val="1"/>
      </w:pPr>
      <w:bookmarkStart w:id="12" w:name="heading_12"/>
      <w:r>
        <w:rPr>
          <w:rFonts w:ascii="Arial" w:eastAsia="DengXian" w:hAnsi="Arial" w:cs="Arial"/>
          <w:b/>
          <w:sz w:val="32"/>
        </w:rPr>
        <w:t>二、扩展</w:t>
      </w:r>
      <w:r>
        <w:rPr>
          <w:rFonts w:ascii="Arial" w:eastAsia="DengXian" w:hAnsi="Arial" w:cs="Arial"/>
          <w:b/>
          <w:sz w:val="32"/>
        </w:rPr>
        <w:t>DRL</w:t>
      </w:r>
      <w:r>
        <w:rPr>
          <w:rFonts w:ascii="Arial" w:eastAsia="DengXian" w:hAnsi="Arial" w:cs="Arial"/>
          <w:b/>
          <w:sz w:val="32"/>
        </w:rPr>
        <w:t>有效性的实验对比设计</w:t>
      </w:r>
      <w:bookmarkEnd w:id="12"/>
    </w:p>
    <w:p w14:paraId="0124F185" w14:textId="77777777" w:rsidR="00EF5C24" w:rsidRDefault="002E58C1">
      <w:pPr>
        <w:spacing w:before="120" w:after="120" w:line="288" w:lineRule="auto"/>
      </w:pPr>
      <w:r>
        <w:rPr>
          <w:rFonts w:ascii="Arial" w:eastAsia="DengXian" w:hAnsi="Arial" w:cs="Arial"/>
        </w:rPr>
        <w:t>实验遵循</w:t>
      </w:r>
      <w:r>
        <w:rPr>
          <w:rFonts w:ascii="Arial" w:eastAsia="DengXian" w:hAnsi="Arial" w:cs="Arial"/>
          <w:b/>
        </w:rPr>
        <w:t>分层验证、控制变量、公平对比</w:t>
      </w:r>
      <w:r>
        <w:rPr>
          <w:rFonts w:ascii="Arial" w:eastAsia="DengXian" w:hAnsi="Arial" w:cs="Arial"/>
        </w:rPr>
        <w:t>三大原则，从单扩展验证到联合扩展验证，逐步证明每一项改进的价值与整体模型的有效性。所有实验均采用</w:t>
      </w:r>
      <w:r>
        <w:rPr>
          <w:rFonts w:ascii="Arial" w:eastAsia="DengXian" w:hAnsi="Arial" w:cs="Arial"/>
          <w:b/>
        </w:rPr>
        <w:t>相同随机种子</w:t>
      </w:r>
      <w:r>
        <w:rPr>
          <w:rFonts w:ascii="Arial" w:eastAsia="DengXian" w:hAnsi="Arial" w:cs="Arial"/>
        </w:rPr>
        <w:t>生成需求序列与良率序列，确保所有策略在完全一致的随机场景下对比，消除抽样误差。</w:t>
      </w:r>
    </w:p>
    <w:p w14:paraId="01523C95" w14:textId="77777777" w:rsidR="00EF5C24" w:rsidRDefault="00EF5C24">
      <w:pPr>
        <w:pBdr>
          <w:bottom w:val="single" w:sz="0" w:space="0" w:color="DEE0E3"/>
          <w:between w:val="single" w:sz="0" w:space="0" w:color="DEE0E3"/>
        </w:pBdr>
        <w:spacing w:before="120" w:after="120" w:line="288" w:lineRule="auto"/>
      </w:pPr>
    </w:p>
    <w:p w14:paraId="4AEADB9F" w14:textId="77777777" w:rsidR="00EF5C24" w:rsidRDefault="002E58C1">
      <w:pPr>
        <w:spacing w:before="300" w:after="120" w:line="288" w:lineRule="auto"/>
        <w:outlineLvl w:val="2"/>
      </w:pPr>
      <w:bookmarkStart w:id="13" w:name="heading_13"/>
      <w:r>
        <w:rPr>
          <w:rFonts w:ascii="Arial" w:eastAsia="DengXian" w:hAnsi="Arial" w:cs="Arial"/>
          <w:b/>
          <w:sz w:val="30"/>
        </w:rPr>
        <w:t xml:space="preserve">2.1 </w:t>
      </w:r>
      <w:r>
        <w:rPr>
          <w:rFonts w:ascii="Arial" w:eastAsia="DengXian" w:hAnsi="Arial" w:cs="Arial"/>
          <w:b/>
          <w:sz w:val="30"/>
        </w:rPr>
        <w:t>实验基准与对照组设定</w:t>
      </w:r>
      <w:bookmarkEnd w:id="13"/>
    </w:p>
    <w:p w14:paraId="2EF850A5" w14:textId="77777777" w:rsidR="00EF5C24" w:rsidRDefault="002E58C1">
      <w:pPr>
        <w:spacing w:before="260" w:after="120" w:line="288" w:lineRule="auto"/>
        <w:outlineLvl w:val="3"/>
      </w:pPr>
      <w:bookmarkStart w:id="14" w:name="heading_14"/>
      <w:r>
        <w:rPr>
          <w:rFonts w:ascii="Arial" w:eastAsia="DengXian" w:hAnsi="Arial" w:cs="Arial"/>
          <w:b/>
          <w:sz w:val="28"/>
        </w:rPr>
        <w:t>（</w:t>
      </w:r>
      <w:r>
        <w:rPr>
          <w:rFonts w:ascii="Arial" w:eastAsia="DengXian" w:hAnsi="Arial" w:cs="Arial"/>
          <w:b/>
          <w:sz w:val="28"/>
        </w:rPr>
        <w:t>1</w:t>
      </w:r>
      <w:r>
        <w:rPr>
          <w:rFonts w:ascii="Arial" w:eastAsia="DengXian" w:hAnsi="Arial" w:cs="Arial"/>
          <w:b/>
          <w:sz w:val="28"/>
        </w:rPr>
        <w:t>）启发式基线策略组</w:t>
      </w:r>
      <w:bookmarkEnd w:id="14"/>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231CA2" w14:paraId="24FA8E17" w14:textId="77777777">
        <w:tblPrEx>
          <w:tblCellMar>
            <w:top w:w="0" w:type="dxa"/>
            <w:bottom w:w="0" w:type="dxa"/>
          </w:tblCellMar>
        </w:tblPrEx>
        <w:tc>
          <w:tcPr>
            <w:tcW w:w="2070" w:type="dxa"/>
            <w:tcMar>
              <w:top w:w="60" w:type="dxa"/>
              <w:left w:w="120" w:type="dxa"/>
              <w:bottom w:w="30" w:type="dxa"/>
              <w:right w:w="120" w:type="dxa"/>
            </w:tcMar>
          </w:tcPr>
          <w:p w14:paraId="073A8810" w14:textId="77777777" w:rsidR="00EF5C24" w:rsidRDefault="002E58C1">
            <w:pPr>
              <w:spacing w:before="120" w:after="120" w:line="288" w:lineRule="auto"/>
            </w:pPr>
            <w:r>
              <w:rPr>
                <w:rFonts w:ascii="Arial" w:eastAsia="DengXian" w:hAnsi="Arial" w:cs="Arial"/>
              </w:rPr>
              <w:t>策略简称</w:t>
            </w:r>
          </w:p>
        </w:tc>
        <w:tc>
          <w:tcPr>
            <w:tcW w:w="2070" w:type="dxa"/>
            <w:tcMar>
              <w:top w:w="60" w:type="dxa"/>
              <w:left w:w="120" w:type="dxa"/>
              <w:bottom w:w="30" w:type="dxa"/>
              <w:right w:w="120" w:type="dxa"/>
            </w:tcMar>
          </w:tcPr>
          <w:p w14:paraId="6B82712D" w14:textId="77777777" w:rsidR="00EF5C24" w:rsidRDefault="002E58C1">
            <w:pPr>
              <w:spacing w:before="120" w:after="120" w:line="288" w:lineRule="auto"/>
            </w:pPr>
            <w:r>
              <w:rPr>
                <w:rFonts w:ascii="Arial" w:eastAsia="DengXian" w:hAnsi="Arial" w:cs="Arial"/>
              </w:rPr>
              <w:t>策略全称</w:t>
            </w:r>
          </w:p>
        </w:tc>
        <w:tc>
          <w:tcPr>
            <w:tcW w:w="2070" w:type="dxa"/>
            <w:tcMar>
              <w:top w:w="60" w:type="dxa"/>
              <w:left w:w="120" w:type="dxa"/>
              <w:bottom w:w="30" w:type="dxa"/>
              <w:right w:w="120" w:type="dxa"/>
            </w:tcMar>
          </w:tcPr>
          <w:p w14:paraId="063CC15D" w14:textId="77777777" w:rsidR="00EF5C24" w:rsidRDefault="002E58C1">
            <w:pPr>
              <w:spacing w:before="120" w:after="120" w:line="288" w:lineRule="auto"/>
            </w:pPr>
            <w:r>
              <w:rPr>
                <w:rFonts w:ascii="Arial" w:eastAsia="DengXian" w:hAnsi="Arial" w:cs="Arial"/>
              </w:rPr>
              <w:t>适用场景</w:t>
            </w:r>
          </w:p>
        </w:tc>
        <w:tc>
          <w:tcPr>
            <w:tcW w:w="2070" w:type="dxa"/>
            <w:tcMar>
              <w:top w:w="60" w:type="dxa"/>
              <w:left w:w="120" w:type="dxa"/>
              <w:bottom w:w="30" w:type="dxa"/>
              <w:right w:w="120" w:type="dxa"/>
            </w:tcMar>
          </w:tcPr>
          <w:p w14:paraId="63D2C38E" w14:textId="77777777" w:rsidR="00EF5C24" w:rsidRDefault="002E58C1">
            <w:pPr>
              <w:spacing w:before="120" w:after="120" w:line="288" w:lineRule="auto"/>
            </w:pPr>
            <w:r>
              <w:rPr>
                <w:rFonts w:ascii="Arial" w:eastAsia="DengXian" w:hAnsi="Arial" w:cs="Arial"/>
              </w:rPr>
              <w:t>定位</w:t>
            </w:r>
          </w:p>
        </w:tc>
      </w:tr>
      <w:tr w:rsidR="00231CA2" w14:paraId="4E8184BC" w14:textId="77777777">
        <w:tblPrEx>
          <w:tblCellMar>
            <w:top w:w="0" w:type="dxa"/>
            <w:bottom w:w="0" w:type="dxa"/>
          </w:tblCellMar>
        </w:tblPrEx>
        <w:tc>
          <w:tcPr>
            <w:tcW w:w="2070" w:type="dxa"/>
            <w:tcMar>
              <w:top w:w="60" w:type="dxa"/>
              <w:left w:w="120" w:type="dxa"/>
              <w:bottom w:w="30" w:type="dxa"/>
              <w:right w:w="120" w:type="dxa"/>
            </w:tcMar>
          </w:tcPr>
          <w:p w14:paraId="03562BAC" w14:textId="77777777" w:rsidR="00EF5C24" w:rsidRDefault="002E58C1">
            <w:pPr>
              <w:spacing w:before="120" w:after="120" w:line="288" w:lineRule="auto"/>
            </w:pPr>
            <w:r>
              <w:rPr>
                <w:rFonts w:ascii="Arial" w:eastAsia="DengXian" w:hAnsi="Arial" w:cs="Arial"/>
              </w:rPr>
              <w:t>LIR</w:t>
            </w:r>
          </w:p>
        </w:tc>
        <w:tc>
          <w:tcPr>
            <w:tcW w:w="2070" w:type="dxa"/>
            <w:tcMar>
              <w:top w:w="60" w:type="dxa"/>
              <w:left w:w="120" w:type="dxa"/>
              <w:bottom w:w="30" w:type="dxa"/>
              <w:right w:w="120" w:type="dxa"/>
            </w:tcMar>
          </w:tcPr>
          <w:p w14:paraId="1BD61DD5" w14:textId="77777777" w:rsidR="00EF5C24" w:rsidRDefault="002E58C1">
            <w:pPr>
              <w:spacing w:before="120" w:after="120" w:line="288" w:lineRule="auto"/>
            </w:pPr>
            <w:r>
              <w:rPr>
                <w:rFonts w:ascii="Arial" w:eastAsia="DengXian" w:hAnsi="Arial" w:cs="Arial"/>
              </w:rPr>
              <w:t>线性膨胀规则</w:t>
            </w:r>
          </w:p>
        </w:tc>
        <w:tc>
          <w:tcPr>
            <w:tcW w:w="2070" w:type="dxa"/>
            <w:tcMar>
              <w:top w:w="60" w:type="dxa"/>
              <w:left w:w="120" w:type="dxa"/>
              <w:bottom w:w="30" w:type="dxa"/>
              <w:right w:w="120" w:type="dxa"/>
            </w:tcMar>
          </w:tcPr>
          <w:p w14:paraId="00433EA3" w14:textId="77777777" w:rsidR="00EF5C24" w:rsidRDefault="002E58C1">
            <w:pPr>
              <w:spacing w:before="120" w:after="120" w:line="288" w:lineRule="auto"/>
            </w:pPr>
            <w:r>
              <w:rPr>
                <w:rFonts w:ascii="Arial" w:eastAsia="DengXian" w:hAnsi="Arial" w:cs="Arial"/>
              </w:rPr>
              <w:t>单源</w:t>
            </w:r>
            <w:r>
              <w:rPr>
                <w:rFonts w:ascii="Arial" w:eastAsia="DengXian" w:hAnsi="Arial" w:cs="Arial"/>
              </w:rPr>
              <w:t>/</w:t>
            </w:r>
            <w:r>
              <w:rPr>
                <w:rFonts w:ascii="Arial" w:eastAsia="DengXian" w:hAnsi="Arial" w:cs="Arial"/>
              </w:rPr>
              <w:t>双源</w:t>
            </w:r>
          </w:p>
        </w:tc>
        <w:tc>
          <w:tcPr>
            <w:tcW w:w="2070" w:type="dxa"/>
            <w:tcMar>
              <w:top w:w="60" w:type="dxa"/>
              <w:left w:w="120" w:type="dxa"/>
              <w:bottom w:w="30" w:type="dxa"/>
              <w:right w:w="120" w:type="dxa"/>
            </w:tcMar>
          </w:tcPr>
          <w:p w14:paraId="2EC6A6EB" w14:textId="77777777" w:rsidR="00EF5C24" w:rsidRDefault="002E58C1">
            <w:pPr>
              <w:spacing w:before="120" w:after="120" w:line="288" w:lineRule="auto"/>
            </w:pPr>
            <w:r>
              <w:rPr>
                <w:rFonts w:ascii="Arial" w:eastAsia="DengXian" w:hAnsi="Arial" w:cs="Arial"/>
              </w:rPr>
              <w:t>简单基线，性能下界</w:t>
            </w:r>
          </w:p>
        </w:tc>
      </w:tr>
      <w:tr w:rsidR="00231CA2" w14:paraId="4FEA8C67" w14:textId="77777777">
        <w:tblPrEx>
          <w:tblCellMar>
            <w:top w:w="0" w:type="dxa"/>
            <w:bottom w:w="0" w:type="dxa"/>
          </w:tblCellMar>
        </w:tblPrEx>
        <w:tc>
          <w:tcPr>
            <w:tcW w:w="2070" w:type="dxa"/>
            <w:tcMar>
              <w:top w:w="60" w:type="dxa"/>
              <w:left w:w="120" w:type="dxa"/>
              <w:bottom w:w="30" w:type="dxa"/>
              <w:right w:w="120" w:type="dxa"/>
            </w:tcMar>
          </w:tcPr>
          <w:p w14:paraId="56C066E7" w14:textId="77777777" w:rsidR="00EF5C24" w:rsidRDefault="002E58C1">
            <w:pPr>
              <w:spacing w:before="120" w:after="120" w:line="288" w:lineRule="auto"/>
            </w:pPr>
            <w:r>
              <w:rPr>
                <w:rFonts w:ascii="Arial" w:eastAsia="DengXian" w:hAnsi="Arial" w:cs="Arial"/>
              </w:rPr>
              <w:t>WNH</w:t>
            </w:r>
          </w:p>
        </w:tc>
        <w:tc>
          <w:tcPr>
            <w:tcW w:w="2070" w:type="dxa"/>
            <w:tcMar>
              <w:top w:w="60" w:type="dxa"/>
              <w:left w:w="120" w:type="dxa"/>
              <w:bottom w:w="30" w:type="dxa"/>
              <w:right w:w="120" w:type="dxa"/>
            </w:tcMar>
          </w:tcPr>
          <w:p w14:paraId="2E389CD6" w14:textId="77777777" w:rsidR="00EF5C24" w:rsidRDefault="002E58C1">
            <w:pPr>
              <w:spacing w:before="120" w:after="120" w:line="288" w:lineRule="auto"/>
            </w:pPr>
            <w:r>
              <w:rPr>
                <w:rFonts w:ascii="Arial" w:eastAsia="DengXian" w:hAnsi="Arial" w:cs="Arial"/>
              </w:rPr>
              <w:t>加权报童启发式</w:t>
            </w:r>
          </w:p>
        </w:tc>
        <w:tc>
          <w:tcPr>
            <w:tcW w:w="2070" w:type="dxa"/>
            <w:tcMar>
              <w:top w:w="60" w:type="dxa"/>
              <w:left w:w="120" w:type="dxa"/>
              <w:bottom w:w="30" w:type="dxa"/>
              <w:right w:w="120" w:type="dxa"/>
            </w:tcMar>
          </w:tcPr>
          <w:p w14:paraId="4CE58D51" w14:textId="77777777" w:rsidR="00EF5C24" w:rsidRDefault="002E58C1">
            <w:pPr>
              <w:spacing w:before="120" w:after="120" w:line="288" w:lineRule="auto"/>
            </w:pPr>
            <w:r>
              <w:rPr>
                <w:rFonts w:ascii="Arial" w:eastAsia="DengXian" w:hAnsi="Arial" w:cs="Arial"/>
              </w:rPr>
              <w:t>单源</w:t>
            </w:r>
            <w:r>
              <w:rPr>
                <w:rFonts w:ascii="Arial" w:eastAsia="DengXian" w:hAnsi="Arial" w:cs="Arial"/>
              </w:rPr>
              <w:t>/</w:t>
            </w:r>
            <w:r>
              <w:rPr>
                <w:rFonts w:ascii="Arial" w:eastAsia="DengXian" w:hAnsi="Arial" w:cs="Arial"/>
              </w:rPr>
              <w:t>双源常规渠道</w:t>
            </w:r>
          </w:p>
        </w:tc>
        <w:tc>
          <w:tcPr>
            <w:tcW w:w="2070" w:type="dxa"/>
            <w:tcMar>
              <w:top w:w="60" w:type="dxa"/>
              <w:left w:w="120" w:type="dxa"/>
              <w:bottom w:w="30" w:type="dxa"/>
              <w:right w:w="120" w:type="dxa"/>
            </w:tcMar>
          </w:tcPr>
          <w:p w14:paraId="1D6B3285" w14:textId="77777777" w:rsidR="00EF5C24" w:rsidRDefault="002E58C1">
            <w:pPr>
              <w:spacing w:before="120" w:after="120" w:line="288" w:lineRule="auto"/>
            </w:pPr>
            <w:r>
              <w:rPr>
                <w:rFonts w:ascii="Arial" w:eastAsia="DengXian" w:hAnsi="Arial" w:cs="Arial"/>
              </w:rPr>
              <w:t>主要启发式基准</w:t>
            </w:r>
          </w:p>
        </w:tc>
      </w:tr>
      <w:tr w:rsidR="00231CA2" w14:paraId="0224B8C2" w14:textId="77777777">
        <w:tblPrEx>
          <w:tblCellMar>
            <w:top w:w="0" w:type="dxa"/>
            <w:bottom w:w="0" w:type="dxa"/>
          </w:tblCellMar>
        </w:tblPrEx>
        <w:tc>
          <w:tcPr>
            <w:tcW w:w="2070" w:type="dxa"/>
            <w:tcMar>
              <w:top w:w="60" w:type="dxa"/>
              <w:left w:w="120" w:type="dxa"/>
              <w:bottom w:w="30" w:type="dxa"/>
              <w:right w:w="120" w:type="dxa"/>
            </w:tcMar>
          </w:tcPr>
          <w:p w14:paraId="5D0DADBB" w14:textId="77777777" w:rsidR="00EF5C24" w:rsidRDefault="002E58C1">
            <w:pPr>
              <w:spacing w:before="120" w:after="120" w:line="288" w:lineRule="auto"/>
            </w:pPr>
            <w:r>
              <w:rPr>
                <w:rFonts w:ascii="Arial" w:eastAsia="DengXian" w:hAnsi="Arial" w:cs="Arial"/>
              </w:rPr>
              <w:t>NV</w:t>
            </w:r>
          </w:p>
        </w:tc>
        <w:tc>
          <w:tcPr>
            <w:tcW w:w="2070" w:type="dxa"/>
            <w:tcMar>
              <w:top w:w="60" w:type="dxa"/>
              <w:left w:w="120" w:type="dxa"/>
              <w:bottom w:w="30" w:type="dxa"/>
              <w:right w:w="120" w:type="dxa"/>
            </w:tcMar>
          </w:tcPr>
          <w:p w14:paraId="70CEC0CA" w14:textId="77777777" w:rsidR="00EF5C24" w:rsidRDefault="002E58C1">
            <w:pPr>
              <w:spacing w:before="120" w:after="120" w:line="288" w:lineRule="auto"/>
            </w:pPr>
            <w:r>
              <w:rPr>
                <w:rFonts w:ascii="Arial" w:eastAsia="DengXian" w:hAnsi="Arial" w:cs="Arial"/>
              </w:rPr>
              <w:t>单期报童策略</w:t>
            </w:r>
          </w:p>
        </w:tc>
        <w:tc>
          <w:tcPr>
            <w:tcW w:w="2070" w:type="dxa"/>
            <w:tcMar>
              <w:top w:w="60" w:type="dxa"/>
              <w:left w:w="120" w:type="dxa"/>
              <w:bottom w:w="30" w:type="dxa"/>
              <w:right w:w="120" w:type="dxa"/>
            </w:tcMar>
          </w:tcPr>
          <w:p w14:paraId="46C6E7C3" w14:textId="77777777" w:rsidR="00EF5C24" w:rsidRDefault="002E58C1">
            <w:pPr>
              <w:spacing w:before="120" w:after="120" w:line="288" w:lineRule="auto"/>
            </w:pPr>
            <w:r>
              <w:rPr>
                <w:rFonts w:ascii="Arial" w:eastAsia="DengXian" w:hAnsi="Arial" w:cs="Arial"/>
              </w:rPr>
              <w:t>纯应急渠道</w:t>
            </w:r>
          </w:p>
        </w:tc>
        <w:tc>
          <w:tcPr>
            <w:tcW w:w="2070" w:type="dxa"/>
            <w:tcMar>
              <w:top w:w="60" w:type="dxa"/>
              <w:left w:w="120" w:type="dxa"/>
              <w:bottom w:w="30" w:type="dxa"/>
              <w:right w:w="120" w:type="dxa"/>
            </w:tcMar>
          </w:tcPr>
          <w:p w14:paraId="57B610B6" w14:textId="77777777" w:rsidR="00EF5C24" w:rsidRDefault="002E58C1">
            <w:pPr>
              <w:spacing w:before="120" w:after="120" w:line="288" w:lineRule="auto"/>
            </w:pPr>
            <w:r>
              <w:rPr>
                <w:rFonts w:ascii="Arial" w:eastAsia="DengXian" w:hAnsi="Arial" w:cs="Arial"/>
              </w:rPr>
              <w:t>应急渠道单独基线</w:t>
            </w:r>
          </w:p>
        </w:tc>
      </w:tr>
      <w:tr w:rsidR="00231CA2" w14:paraId="3F70A981" w14:textId="77777777">
        <w:tblPrEx>
          <w:tblCellMar>
            <w:top w:w="0" w:type="dxa"/>
            <w:bottom w:w="0" w:type="dxa"/>
          </w:tblCellMar>
        </w:tblPrEx>
        <w:tc>
          <w:tcPr>
            <w:tcW w:w="2070" w:type="dxa"/>
            <w:tcMar>
              <w:top w:w="60" w:type="dxa"/>
              <w:left w:w="120" w:type="dxa"/>
              <w:bottom w:w="30" w:type="dxa"/>
              <w:right w:w="120" w:type="dxa"/>
            </w:tcMar>
          </w:tcPr>
          <w:p w14:paraId="24B140B9" w14:textId="77777777" w:rsidR="00EF5C24" w:rsidRDefault="002E58C1">
            <w:pPr>
              <w:spacing w:before="120" w:after="120" w:line="288" w:lineRule="auto"/>
            </w:pPr>
            <w:r>
              <w:rPr>
                <w:rFonts w:ascii="Arial" w:eastAsia="DengXian" w:hAnsi="Arial" w:cs="Arial"/>
              </w:rPr>
              <w:t>HEUR</w:t>
            </w:r>
          </w:p>
        </w:tc>
        <w:tc>
          <w:tcPr>
            <w:tcW w:w="2070" w:type="dxa"/>
            <w:tcMar>
              <w:top w:w="60" w:type="dxa"/>
              <w:left w:w="120" w:type="dxa"/>
              <w:bottom w:w="30" w:type="dxa"/>
              <w:right w:w="120" w:type="dxa"/>
            </w:tcMar>
          </w:tcPr>
          <w:p w14:paraId="3F0CB394" w14:textId="77777777" w:rsidR="00EF5C24" w:rsidRDefault="002E58C1">
            <w:pPr>
              <w:spacing w:before="120" w:after="120" w:line="288" w:lineRule="auto"/>
            </w:pPr>
            <w:r>
              <w:rPr>
                <w:rFonts w:ascii="Arial" w:eastAsia="DengXian" w:hAnsi="Arial" w:cs="Arial"/>
              </w:rPr>
              <w:t>WNH+NV</w:t>
            </w:r>
            <w:r>
              <w:rPr>
                <w:rFonts w:ascii="Arial" w:eastAsia="DengXian" w:hAnsi="Arial" w:cs="Arial"/>
              </w:rPr>
              <w:t>联合启发式</w:t>
            </w:r>
          </w:p>
        </w:tc>
        <w:tc>
          <w:tcPr>
            <w:tcW w:w="2070" w:type="dxa"/>
            <w:tcMar>
              <w:top w:w="60" w:type="dxa"/>
              <w:left w:w="120" w:type="dxa"/>
              <w:bottom w:w="30" w:type="dxa"/>
              <w:right w:w="120" w:type="dxa"/>
            </w:tcMar>
          </w:tcPr>
          <w:p w14:paraId="6551FB59" w14:textId="77777777" w:rsidR="00EF5C24" w:rsidRDefault="002E58C1">
            <w:pPr>
              <w:spacing w:before="120" w:after="120" w:line="288" w:lineRule="auto"/>
            </w:pPr>
            <w:r>
              <w:rPr>
                <w:rFonts w:ascii="Arial" w:eastAsia="DengXian" w:hAnsi="Arial" w:cs="Arial"/>
              </w:rPr>
              <w:t>双源场景</w:t>
            </w:r>
          </w:p>
        </w:tc>
        <w:tc>
          <w:tcPr>
            <w:tcW w:w="2070" w:type="dxa"/>
            <w:tcMar>
              <w:top w:w="60" w:type="dxa"/>
              <w:left w:w="120" w:type="dxa"/>
              <w:bottom w:w="30" w:type="dxa"/>
              <w:right w:w="120" w:type="dxa"/>
            </w:tcMar>
          </w:tcPr>
          <w:p w14:paraId="15246338" w14:textId="77777777" w:rsidR="00EF5C24" w:rsidRDefault="002E58C1">
            <w:pPr>
              <w:spacing w:before="120" w:after="120" w:line="288" w:lineRule="auto"/>
            </w:pPr>
            <w:r>
              <w:rPr>
                <w:rFonts w:ascii="Arial" w:eastAsia="DengXian" w:hAnsi="Arial" w:cs="Arial"/>
              </w:rPr>
              <w:t>双源启发式基准，</w:t>
            </w:r>
            <w:r>
              <w:rPr>
                <w:rFonts w:ascii="Arial" w:eastAsia="DengXian" w:hAnsi="Arial" w:cs="Arial"/>
              </w:rPr>
              <w:t>DRL</w:t>
            </w:r>
            <w:r>
              <w:rPr>
                <w:rFonts w:ascii="Arial" w:eastAsia="DengXian" w:hAnsi="Arial" w:cs="Arial"/>
              </w:rPr>
              <w:t>教师策略</w:t>
            </w:r>
          </w:p>
        </w:tc>
      </w:tr>
    </w:tbl>
    <w:p w14:paraId="6A551884" w14:textId="77777777" w:rsidR="00EF5C24" w:rsidRDefault="002E58C1">
      <w:pPr>
        <w:spacing w:before="260" w:after="120" w:line="288" w:lineRule="auto"/>
        <w:outlineLvl w:val="3"/>
      </w:pPr>
      <w:bookmarkStart w:id="15" w:name="heading_15"/>
      <w:r>
        <w:rPr>
          <w:rFonts w:ascii="Arial" w:eastAsia="DengXian" w:hAnsi="Arial" w:cs="Arial"/>
          <w:b/>
          <w:sz w:val="28"/>
        </w:rPr>
        <w:t>（</w:t>
      </w:r>
      <w:r>
        <w:rPr>
          <w:rFonts w:ascii="Arial" w:eastAsia="DengXian" w:hAnsi="Arial" w:cs="Arial"/>
          <w:b/>
          <w:sz w:val="28"/>
        </w:rPr>
        <w:t>2</w:t>
      </w:r>
      <w:r>
        <w:rPr>
          <w:rFonts w:ascii="Arial" w:eastAsia="DengXian" w:hAnsi="Arial" w:cs="Arial"/>
          <w:b/>
          <w:sz w:val="28"/>
        </w:rPr>
        <w:t>）</w:t>
      </w:r>
      <w:r>
        <w:rPr>
          <w:rFonts w:ascii="Arial" w:eastAsia="DengXian" w:hAnsi="Arial" w:cs="Arial"/>
          <w:b/>
          <w:sz w:val="28"/>
        </w:rPr>
        <w:t>DRL</w:t>
      </w:r>
      <w:r>
        <w:rPr>
          <w:rFonts w:ascii="Arial" w:eastAsia="DengXian" w:hAnsi="Arial" w:cs="Arial"/>
          <w:b/>
          <w:sz w:val="28"/>
        </w:rPr>
        <w:t>策略组</w:t>
      </w:r>
      <w:bookmarkEnd w:id="15"/>
    </w:p>
    <w:tbl>
      <w:tblPr>
        <w:tblW w:w="0" w:type="auto"/>
        <w:tblLayout w:type="fixed"/>
        <w:tblCellMar>
          <w:left w:w="10" w:type="dxa"/>
          <w:right w:w="10" w:type="dxa"/>
        </w:tblCellMar>
        <w:tblLook w:val="04A0" w:firstRow="1" w:lastRow="0" w:firstColumn="1" w:lastColumn="0" w:noHBand="0" w:noVBand="1"/>
      </w:tblPr>
      <w:tblGrid>
        <w:gridCol w:w="2760"/>
        <w:gridCol w:w="2760"/>
        <w:gridCol w:w="2760"/>
      </w:tblGrid>
      <w:tr w:rsidR="00231CA2" w14:paraId="5061CC80" w14:textId="77777777">
        <w:tblPrEx>
          <w:tblCellMar>
            <w:top w:w="0" w:type="dxa"/>
            <w:bottom w:w="0" w:type="dxa"/>
          </w:tblCellMar>
        </w:tblPrEx>
        <w:tc>
          <w:tcPr>
            <w:tcW w:w="2760" w:type="dxa"/>
            <w:tcMar>
              <w:top w:w="60" w:type="dxa"/>
              <w:left w:w="120" w:type="dxa"/>
              <w:bottom w:w="30" w:type="dxa"/>
              <w:right w:w="120" w:type="dxa"/>
            </w:tcMar>
          </w:tcPr>
          <w:p w14:paraId="5D9A6268" w14:textId="77777777" w:rsidR="00EF5C24" w:rsidRDefault="002E58C1">
            <w:pPr>
              <w:spacing w:before="120" w:after="120" w:line="288" w:lineRule="auto"/>
            </w:pPr>
            <w:r>
              <w:rPr>
                <w:rFonts w:ascii="Arial" w:eastAsia="DengXian" w:hAnsi="Arial" w:cs="Arial"/>
              </w:rPr>
              <w:t>策略简称</w:t>
            </w:r>
          </w:p>
        </w:tc>
        <w:tc>
          <w:tcPr>
            <w:tcW w:w="2760" w:type="dxa"/>
            <w:tcMar>
              <w:top w:w="60" w:type="dxa"/>
              <w:left w:w="120" w:type="dxa"/>
              <w:bottom w:w="30" w:type="dxa"/>
              <w:right w:w="120" w:type="dxa"/>
            </w:tcMar>
          </w:tcPr>
          <w:p w14:paraId="06BE238D" w14:textId="77777777" w:rsidR="00EF5C24" w:rsidRDefault="002E58C1">
            <w:pPr>
              <w:spacing w:before="120" w:after="120" w:line="288" w:lineRule="auto"/>
            </w:pPr>
            <w:r>
              <w:rPr>
                <w:rFonts w:ascii="Arial" w:eastAsia="DengXian" w:hAnsi="Arial" w:cs="Arial"/>
              </w:rPr>
              <w:t>策略说明</w:t>
            </w:r>
          </w:p>
        </w:tc>
        <w:tc>
          <w:tcPr>
            <w:tcW w:w="2760" w:type="dxa"/>
            <w:tcMar>
              <w:top w:w="60" w:type="dxa"/>
              <w:left w:w="120" w:type="dxa"/>
              <w:bottom w:w="30" w:type="dxa"/>
              <w:right w:w="120" w:type="dxa"/>
            </w:tcMar>
          </w:tcPr>
          <w:p w14:paraId="47667DB0" w14:textId="77777777" w:rsidR="00EF5C24" w:rsidRDefault="002E58C1">
            <w:pPr>
              <w:spacing w:before="120" w:after="120" w:line="288" w:lineRule="auto"/>
            </w:pPr>
            <w:r>
              <w:rPr>
                <w:rFonts w:ascii="Arial" w:eastAsia="DengXian" w:hAnsi="Arial" w:cs="Arial"/>
              </w:rPr>
              <w:t>对比作用</w:t>
            </w:r>
          </w:p>
        </w:tc>
      </w:tr>
      <w:tr w:rsidR="00231CA2" w14:paraId="3D7136D6" w14:textId="77777777">
        <w:tblPrEx>
          <w:tblCellMar>
            <w:top w:w="0" w:type="dxa"/>
            <w:bottom w:w="0" w:type="dxa"/>
          </w:tblCellMar>
        </w:tblPrEx>
        <w:tc>
          <w:tcPr>
            <w:tcW w:w="2760" w:type="dxa"/>
            <w:tcMar>
              <w:top w:w="60" w:type="dxa"/>
              <w:left w:w="120" w:type="dxa"/>
              <w:bottom w:w="30" w:type="dxa"/>
              <w:right w:w="120" w:type="dxa"/>
            </w:tcMar>
          </w:tcPr>
          <w:p w14:paraId="469909DD" w14:textId="77777777" w:rsidR="00EF5C24" w:rsidRDefault="002E58C1">
            <w:pPr>
              <w:spacing w:before="120" w:after="120" w:line="288" w:lineRule="auto"/>
            </w:pPr>
            <w:r>
              <w:rPr>
                <w:rFonts w:ascii="Arial" w:eastAsia="DengXian" w:hAnsi="Arial" w:cs="Arial"/>
              </w:rPr>
              <w:t>DRL-base</w:t>
            </w:r>
          </w:p>
        </w:tc>
        <w:tc>
          <w:tcPr>
            <w:tcW w:w="2760" w:type="dxa"/>
            <w:tcMar>
              <w:top w:w="60" w:type="dxa"/>
              <w:left w:w="120" w:type="dxa"/>
              <w:bottom w:w="30" w:type="dxa"/>
              <w:right w:w="120" w:type="dxa"/>
            </w:tcMar>
          </w:tcPr>
          <w:p w14:paraId="781C382D" w14:textId="77777777" w:rsidR="00EF5C24" w:rsidRDefault="002E58C1">
            <w:pPr>
              <w:spacing w:before="120" w:after="120" w:line="288" w:lineRule="auto"/>
            </w:pPr>
            <w:r>
              <w:rPr>
                <w:rFonts w:ascii="Arial" w:eastAsia="DengXian" w:hAnsi="Arial" w:cs="Arial"/>
              </w:rPr>
              <w:t>原论文单源稳态</w:t>
            </w:r>
            <w:r>
              <w:rPr>
                <w:rFonts w:ascii="Arial" w:eastAsia="DengXian" w:hAnsi="Arial" w:cs="Arial"/>
              </w:rPr>
              <w:t>DRL</w:t>
            </w:r>
          </w:p>
        </w:tc>
        <w:tc>
          <w:tcPr>
            <w:tcW w:w="2760" w:type="dxa"/>
            <w:tcMar>
              <w:top w:w="60" w:type="dxa"/>
              <w:left w:w="120" w:type="dxa"/>
              <w:bottom w:w="30" w:type="dxa"/>
              <w:right w:w="120" w:type="dxa"/>
            </w:tcMar>
          </w:tcPr>
          <w:p w14:paraId="6DA40ED4" w14:textId="77777777" w:rsidR="00EF5C24" w:rsidRDefault="002E58C1">
            <w:pPr>
              <w:spacing w:before="120" w:after="120" w:line="288" w:lineRule="auto"/>
            </w:pPr>
            <w:r>
              <w:rPr>
                <w:rFonts w:ascii="Arial" w:eastAsia="DengXian" w:hAnsi="Arial" w:cs="Arial"/>
              </w:rPr>
              <w:t>原模型性能基准</w:t>
            </w:r>
          </w:p>
        </w:tc>
      </w:tr>
      <w:tr w:rsidR="00231CA2" w14:paraId="40491F9F" w14:textId="77777777">
        <w:tblPrEx>
          <w:tblCellMar>
            <w:top w:w="0" w:type="dxa"/>
            <w:bottom w:w="0" w:type="dxa"/>
          </w:tblCellMar>
        </w:tblPrEx>
        <w:tc>
          <w:tcPr>
            <w:tcW w:w="2760" w:type="dxa"/>
            <w:tcMar>
              <w:top w:w="60" w:type="dxa"/>
              <w:left w:w="120" w:type="dxa"/>
              <w:bottom w:w="30" w:type="dxa"/>
              <w:right w:w="120" w:type="dxa"/>
            </w:tcMar>
          </w:tcPr>
          <w:p w14:paraId="462EBFEB" w14:textId="77777777" w:rsidR="00EF5C24" w:rsidRDefault="002E58C1">
            <w:pPr>
              <w:spacing w:before="120" w:after="120" w:line="288" w:lineRule="auto"/>
            </w:pPr>
            <w:r>
              <w:rPr>
                <w:rFonts w:ascii="Arial" w:eastAsia="DengXian" w:hAnsi="Arial" w:cs="Arial"/>
              </w:rPr>
              <w:t>DRL-seasonal</w:t>
            </w:r>
          </w:p>
        </w:tc>
        <w:tc>
          <w:tcPr>
            <w:tcW w:w="2760" w:type="dxa"/>
            <w:tcMar>
              <w:top w:w="60" w:type="dxa"/>
              <w:left w:w="120" w:type="dxa"/>
              <w:bottom w:w="30" w:type="dxa"/>
              <w:right w:w="120" w:type="dxa"/>
            </w:tcMar>
          </w:tcPr>
          <w:p w14:paraId="0A856F58" w14:textId="77777777" w:rsidR="00EF5C24" w:rsidRDefault="002E58C1">
            <w:pPr>
              <w:spacing w:before="120" w:after="120" w:line="288" w:lineRule="auto"/>
            </w:pPr>
            <w:r>
              <w:rPr>
                <w:rFonts w:ascii="Arial" w:eastAsia="DengXian" w:hAnsi="Arial" w:cs="Arial"/>
              </w:rPr>
              <w:t>单源</w:t>
            </w:r>
            <w:r>
              <w:rPr>
                <w:rFonts w:ascii="Arial" w:eastAsia="DengXian" w:hAnsi="Arial" w:cs="Arial"/>
              </w:rPr>
              <w:t>+</w:t>
            </w:r>
            <w:r>
              <w:rPr>
                <w:rFonts w:ascii="Arial" w:eastAsia="DengXian" w:hAnsi="Arial" w:cs="Arial"/>
              </w:rPr>
              <w:t>季节性扩展</w:t>
            </w:r>
            <w:r>
              <w:rPr>
                <w:rFonts w:ascii="Arial" w:eastAsia="DengXian" w:hAnsi="Arial" w:cs="Arial"/>
              </w:rPr>
              <w:t>DRL</w:t>
            </w:r>
          </w:p>
        </w:tc>
        <w:tc>
          <w:tcPr>
            <w:tcW w:w="2760" w:type="dxa"/>
            <w:tcMar>
              <w:top w:w="60" w:type="dxa"/>
              <w:left w:w="120" w:type="dxa"/>
              <w:bottom w:w="30" w:type="dxa"/>
              <w:right w:w="120" w:type="dxa"/>
            </w:tcMar>
          </w:tcPr>
          <w:p w14:paraId="3C0D35B2" w14:textId="77777777" w:rsidR="00EF5C24" w:rsidRDefault="002E58C1">
            <w:pPr>
              <w:spacing w:before="120" w:after="120" w:line="288" w:lineRule="auto"/>
            </w:pPr>
            <w:r>
              <w:rPr>
                <w:rFonts w:ascii="Arial" w:eastAsia="DengXian" w:hAnsi="Arial" w:cs="Arial"/>
              </w:rPr>
              <w:t>验证季节性扩展的增益</w:t>
            </w:r>
          </w:p>
        </w:tc>
      </w:tr>
      <w:tr w:rsidR="00231CA2" w14:paraId="0111E2DE" w14:textId="77777777">
        <w:tblPrEx>
          <w:tblCellMar>
            <w:top w:w="0" w:type="dxa"/>
            <w:bottom w:w="0" w:type="dxa"/>
          </w:tblCellMar>
        </w:tblPrEx>
        <w:tc>
          <w:tcPr>
            <w:tcW w:w="2760" w:type="dxa"/>
            <w:tcMar>
              <w:top w:w="60" w:type="dxa"/>
              <w:left w:w="120" w:type="dxa"/>
              <w:bottom w:w="30" w:type="dxa"/>
              <w:right w:w="120" w:type="dxa"/>
            </w:tcMar>
          </w:tcPr>
          <w:p w14:paraId="47B4537A" w14:textId="77777777" w:rsidR="00EF5C24" w:rsidRDefault="002E58C1">
            <w:pPr>
              <w:spacing w:before="120" w:after="120" w:line="288" w:lineRule="auto"/>
            </w:pPr>
            <w:r>
              <w:rPr>
                <w:rFonts w:ascii="Arial" w:eastAsia="DengXian" w:hAnsi="Arial" w:cs="Arial"/>
              </w:rPr>
              <w:t>DRL-dual</w:t>
            </w:r>
          </w:p>
        </w:tc>
        <w:tc>
          <w:tcPr>
            <w:tcW w:w="2760" w:type="dxa"/>
            <w:tcMar>
              <w:top w:w="60" w:type="dxa"/>
              <w:left w:w="120" w:type="dxa"/>
              <w:bottom w:w="30" w:type="dxa"/>
              <w:right w:w="120" w:type="dxa"/>
            </w:tcMar>
          </w:tcPr>
          <w:p w14:paraId="6BF339CC" w14:textId="77777777" w:rsidR="00EF5C24" w:rsidRDefault="002E58C1">
            <w:pPr>
              <w:spacing w:before="120" w:after="120" w:line="288" w:lineRule="auto"/>
            </w:pPr>
            <w:r>
              <w:rPr>
                <w:rFonts w:ascii="Arial" w:eastAsia="DengXian" w:hAnsi="Arial" w:cs="Arial"/>
              </w:rPr>
              <w:t>双源</w:t>
            </w:r>
            <w:r>
              <w:rPr>
                <w:rFonts w:ascii="Arial" w:eastAsia="DengXian" w:hAnsi="Arial" w:cs="Arial"/>
              </w:rPr>
              <w:t>+</w:t>
            </w:r>
            <w:r>
              <w:rPr>
                <w:rFonts w:ascii="Arial" w:eastAsia="DengXian" w:hAnsi="Arial" w:cs="Arial"/>
              </w:rPr>
              <w:t>稳态需求</w:t>
            </w:r>
            <w:r>
              <w:rPr>
                <w:rFonts w:ascii="Arial" w:eastAsia="DengXian" w:hAnsi="Arial" w:cs="Arial"/>
              </w:rPr>
              <w:t>DRL</w:t>
            </w:r>
          </w:p>
        </w:tc>
        <w:tc>
          <w:tcPr>
            <w:tcW w:w="2760" w:type="dxa"/>
            <w:tcMar>
              <w:top w:w="60" w:type="dxa"/>
              <w:left w:w="120" w:type="dxa"/>
              <w:bottom w:w="30" w:type="dxa"/>
              <w:right w:w="120" w:type="dxa"/>
            </w:tcMar>
          </w:tcPr>
          <w:p w14:paraId="6CFD3613" w14:textId="77777777" w:rsidR="00EF5C24" w:rsidRDefault="002E58C1">
            <w:pPr>
              <w:spacing w:before="120" w:after="120" w:line="288" w:lineRule="auto"/>
            </w:pPr>
            <w:r>
              <w:rPr>
                <w:rFonts w:ascii="Arial" w:eastAsia="DengXian" w:hAnsi="Arial" w:cs="Arial"/>
              </w:rPr>
              <w:t>验证双源扩展的增益</w:t>
            </w:r>
          </w:p>
        </w:tc>
      </w:tr>
      <w:tr w:rsidR="00231CA2" w14:paraId="78D7AC02" w14:textId="77777777">
        <w:tblPrEx>
          <w:tblCellMar>
            <w:top w:w="0" w:type="dxa"/>
            <w:bottom w:w="0" w:type="dxa"/>
          </w:tblCellMar>
        </w:tblPrEx>
        <w:tc>
          <w:tcPr>
            <w:tcW w:w="2760" w:type="dxa"/>
            <w:tcMar>
              <w:top w:w="60" w:type="dxa"/>
              <w:left w:w="120" w:type="dxa"/>
              <w:bottom w:w="30" w:type="dxa"/>
              <w:right w:w="120" w:type="dxa"/>
            </w:tcMar>
          </w:tcPr>
          <w:p w14:paraId="17C757C8" w14:textId="77777777" w:rsidR="00EF5C24" w:rsidRDefault="002E58C1">
            <w:pPr>
              <w:spacing w:before="120" w:after="120" w:line="288" w:lineRule="auto"/>
            </w:pPr>
            <w:r>
              <w:rPr>
                <w:rFonts w:ascii="Arial" w:eastAsia="DengXian" w:hAnsi="Arial" w:cs="Arial"/>
              </w:rPr>
              <w:lastRenderedPageBreak/>
              <w:t>DRL-full</w:t>
            </w:r>
          </w:p>
        </w:tc>
        <w:tc>
          <w:tcPr>
            <w:tcW w:w="2760" w:type="dxa"/>
            <w:tcMar>
              <w:top w:w="60" w:type="dxa"/>
              <w:left w:w="120" w:type="dxa"/>
              <w:bottom w:w="30" w:type="dxa"/>
              <w:right w:w="120" w:type="dxa"/>
            </w:tcMar>
          </w:tcPr>
          <w:p w14:paraId="557F5B49" w14:textId="77777777" w:rsidR="00EF5C24" w:rsidRDefault="002E58C1">
            <w:pPr>
              <w:spacing w:before="120" w:after="120" w:line="288" w:lineRule="auto"/>
            </w:pPr>
            <w:r>
              <w:rPr>
                <w:rFonts w:ascii="Arial" w:eastAsia="DengXian" w:hAnsi="Arial" w:cs="Arial"/>
              </w:rPr>
              <w:t>双源</w:t>
            </w:r>
            <w:r>
              <w:rPr>
                <w:rFonts w:ascii="Arial" w:eastAsia="DengXian" w:hAnsi="Arial" w:cs="Arial"/>
              </w:rPr>
              <w:t>+</w:t>
            </w:r>
            <w:r>
              <w:rPr>
                <w:rFonts w:ascii="Arial" w:eastAsia="DengXian" w:hAnsi="Arial" w:cs="Arial"/>
              </w:rPr>
              <w:t>季节性完整扩展</w:t>
            </w:r>
            <w:r>
              <w:rPr>
                <w:rFonts w:ascii="Arial" w:eastAsia="DengXian" w:hAnsi="Arial" w:cs="Arial"/>
              </w:rPr>
              <w:t>DRL</w:t>
            </w:r>
          </w:p>
        </w:tc>
        <w:tc>
          <w:tcPr>
            <w:tcW w:w="2760" w:type="dxa"/>
            <w:tcMar>
              <w:top w:w="60" w:type="dxa"/>
              <w:left w:w="120" w:type="dxa"/>
              <w:bottom w:w="30" w:type="dxa"/>
              <w:right w:w="120" w:type="dxa"/>
            </w:tcMar>
          </w:tcPr>
          <w:p w14:paraId="11DDF23D" w14:textId="77777777" w:rsidR="00EF5C24" w:rsidRDefault="002E58C1">
            <w:pPr>
              <w:spacing w:before="120" w:after="120" w:line="288" w:lineRule="auto"/>
            </w:pPr>
            <w:r>
              <w:rPr>
                <w:rFonts w:ascii="Arial" w:eastAsia="DengXian" w:hAnsi="Arial" w:cs="Arial"/>
              </w:rPr>
              <w:t>最终模型性能</w:t>
            </w:r>
          </w:p>
        </w:tc>
      </w:tr>
    </w:tbl>
    <w:p w14:paraId="217275D0" w14:textId="77777777" w:rsidR="00EF5C24" w:rsidRDefault="00EF5C24">
      <w:pPr>
        <w:pBdr>
          <w:bottom w:val="single" w:sz="0" w:space="0" w:color="DEE0E3"/>
          <w:between w:val="single" w:sz="0" w:space="0" w:color="DEE0E3"/>
        </w:pBdr>
        <w:spacing w:before="120" w:after="120" w:line="288" w:lineRule="auto"/>
      </w:pPr>
    </w:p>
    <w:p w14:paraId="3F1E5DB7" w14:textId="77777777" w:rsidR="00EF5C24" w:rsidRDefault="002E58C1">
      <w:pPr>
        <w:spacing w:before="300" w:after="120" w:line="288" w:lineRule="auto"/>
        <w:outlineLvl w:val="2"/>
      </w:pPr>
      <w:bookmarkStart w:id="16" w:name="heading_16"/>
      <w:r>
        <w:rPr>
          <w:rFonts w:ascii="Arial" w:eastAsia="DengXian" w:hAnsi="Arial" w:cs="Arial"/>
          <w:b/>
          <w:sz w:val="30"/>
        </w:rPr>
        <w:t xml:space="preserve">2.2 </w:t>
      </w:r>
      <w:r>
        <w:rPr>
          <w:rFonts w:ascii="Arial" w:eastAsia="DengXian" w:hAnsi="Arial" w:cs="Arial"/>
          <w:b/>
          <w:sz w:val="30"/>
        </w:rPr>
        <w:t>实验一：季节性需求扩展的有效性验证</w:t>
      </w:r>
      <w:bookmarkEnd w:id="16"/>
    </w:p>
    <w:p w14:paraId="0AFE1551" w14:textId="77777777" w:rsidR="00EF5C24" w:rsidRDefault="002E58C1">
      <w:pPr>
        <w:spacing w:before="120" w:after="120" w:line="288" w:lineRule="auto"/>
      </w:pPr>
      <w:r>
        <w:rPr>
          <w:rFonts w:ascii="Arial" w:eastAsia="DengXian" w:hAnsi="Arial" w:cs="Arial"/>
          <w:b/>
        </w:rPr>
        <w:t>实验目的</w:t>
      </w:r>
      <w:r>
        <w:rPr>
          <w:rFonts w:ascii="Arial" w:eastAsia="DengXian" w:hAnsi="Arial" w:cs="Arial"/>
        </w:rPr>
        <w:t>：验证在非平稳需求环境下，引入时间编码的</w:t>
      </w:r>
      <w:r>
        <w:rPr>
          <w:rFonts w:ascii="Arial" w:eastAsia="DengXian" w:hAnsi="Arial" w:cs="Arial"/>
        </w:rPr>
        <w:t>DRL</w:t>
      </w:r>
      <w:r>
        <w:rPr>
          <w:rFonts w:ascii="Arial" w:eastAsia="DengXian" w:hAnsi="Arial" w:cs="Arial"/>
        </w:rPr>
        <w:t>策略优于传统固定权重启发式策略。</w:t>
      </w:r>
    </w:p>
    <w:p w14:paraId="5084841D" w14:textId="77777777" w:rsidR="00EF5C24" w:rsidRDefault="002E58C1">
      <w:pPr>
        <w:spacing w:before="120" w:after="120" w:line="288" w:lineRule="auto"/>
      </w:pPr>
      <w:r>
        <w:rPr>
          <w:rFonts w:ascii="Arial" w:eastAsia="DengXian" w:hAnsi="Arial" w:cs="Arial"/>
          <w:b/>
        </w:rPr>
        <w:t>实验设置</w:t>
      </w:r>
      <w:r>
        <w:rPr>
          <w:rFonts w:ascii="Arial" w:eastAsia="DengXian" w:hAnsi="Arial" w:cs="Arial"/>
        </w:rPr>
        <w:t>：</w:t>
      </w:r>
    </w:p>
    <w:p w14:paraId="06CD3583" w14:textId="77777777" w:rsidR="00EF5C24" w:rsidRDefault="002E58C1">
      <w:pPr>
        <w:numPr>
          <w:ilvl w:val="0"/>
          <w:numId w:val="13"/>
        </w:numPr>
        <w:spacing w:before="120" w:after="120" w:line="288" w:lineRule="auto"/>
      </w:pPr>
      <w:r>
        <w:rPr>
          <w:rFonts w:ascii="Arial" w:eastAsia="DengXian" w:hAnsi="Arial" w:cs="Arial"/>
        </w:rPr>
        <w:t>场景：单源采购、季节性需求</w:t>
      </w:r>
    </w:p>
    <w:p w14:paraId="098AA86D" w14:textId="77777777" w:rsidR="00EF5C24" w:rsidRDefault="002E58C1">
      <w:pPr>
        <w:numPr>
          <w:ilvl w:val="0"/>
          <w:numId w:val="14"/>
        </w:numPr>
        <w:spacing w:before="120" w:after="120" w:line="288" w:lineRule="auto"/>
      </w:pPr>
      <w:r>
        <w:rPr>
          <w:rFonts w:ascii="Arial" w:eastAsia="DengXian" w:hAnsi="Arial" w:cs="Arial"/>
        </w:rPr>
        <w:t>控制变量：保持良率</w:t>
      </w:r>
      <w:r>
        <w:rPr>
          <w:rFonts w:ascii="Arial" w:eastAsia="DengXian" w:hAnsi="Arial" w:cs="Arial"/>
        </w:rPr>
        <w:t xml:space="preserve"> </w:t>
      </w:r>
      <m:oMath>
        <m:r>
          <w:rPr>
            <w:rFonts w:ascii="Cambria Math" w:hAnsi="Cambria Math"/>
          </w:rPr>
          <m:t>p</m:t>
        </m:r>
      </m:oMath>
      <w:r>
        <w:rPr>
          <w:rFonts w:ascii="Arial" w:eastAsia="DengXian" w:hAnsi="Arial" w:cs="Arial"/>
        </w:rPr>
        <w:t>、提前期</w:t>
      </w:r>
      <w:r>
        <w:rPr>
          <w:rFonts w:ascii="Arial" w:eastAsia="DengXian" w:hAnsi="Arial" w:cs="Arial"/>
        </w:rPr>
        <w:t xml:space="preserve"> </w:t>
      </w:r>
      <m:oMath>
        <m:r>
          <w:rPr>
            <w:rFonts w:ascii="Cambria Math" w:hAnsi="Cambria Math"/>
          </w:rPr>
          <m:t>L</m:t>
        </m:r>
      </m:oMath>
      <w:r>
        <w:rPr>
          <w:rFonts w:ascii="Arial" w:eastAsia="DengXian" w:hAnsi="Arial" w:cs="Arial"/>
        </w:rPr>
        <w:t>、成本参数不变，仅改变季节振幅</w:t>
      </w:r>
      <w:r>
        <w:rPr>
          <w:rFonts w:ascii="Arial" w:eastAsia="DengXian" w:hAnsi="Arial" w:cs="Arial"/>
        </w:rPr>
        <w:t xml:space="preserve"> </w:t>
      </w:r>
      <m:oMath>
        <m:r>
          <w:rPr>
            <w:rFonts w:ascii="Cambria Math" w:hAnsi="Cambria Math"/>
          </w:rPr>
          <m:t>A</m:t>
        </m:r>
      </m:oMath>
    </w:p>
    <w:p w14:paraId="276C1C2A" w14:textId="77777777" w:rsidR="00EF5C24" w:rsidRDefault="002E58C1">
      <w:pPr>
        <w:numPr>
          <w:ilvl w:val="0"/>
          <w:numId w:val="15"/>
        </w:numPr>
        <w:spacing w:before="120" w:after="120" w:line="288" w:lineRule="auto"/>
      </w:pPr>
      <w:r>
        <w:rPr>
          <w:rFonts w:ascii="Arial" w:eastAsia="DengXian" w:hAnsi="Arial" w:cs="Arial"/>
        </w:rPr>
        <w:t>参数梯度：</w:t>
      </w:r>
      <m:oMath>
        <m:r>
          <w:rPr>
            <w:rFonts w:ascii="Cambria Math" w:hAnsi="Cambria Math"/>
          </w:rPr>
          <m:t>A∈{0,3,6}</m:t>
        </m:r>
      </m:oMath>
      <w:r>
        <w:rPr>
          <w:rFonts w:ascii="Arial" w:eastAsia="DengXian" w:hAnsi="Arial" w:cs="Arial"/>
        </w:rPr>
        <w:t>（对应无季节、中等波动、强波动）</w:t>
      </w:r>
    </w:p>
    <w:p w14:paraId="7981446E" w14:textId="77777777" w:rsidR="00EF5C24" w:rsidRDefault="002E58C1">
      <w:pPr>
        <w:spacing w:before="120" w:after="120" w:line="288" w:lineRule="auto"/>
      </w:pPr>
      <w:r>
        <w:rPr>
          <w:rFonts w:ascii="Arial" w:eastAsia="DengXian" w:hAnsi="Arial" w:cs="Arial"/>
          <w:b/>
        </w:rPr>
        <w:t>对比指标</w:t>
      </w:r>
      <w:r>
        <w:rPr>
          <w:rFonts w:ascii="Arial" w:eastAsia="DengXian" w:hAnsi="Arial" w:cs="Arial"/>
        </w:rPr>
        <w:t>：</w:t>
      </w:r>
    </w:p>
    <w:p w14:paraId="6F2B339B" w14:textId="77777777" w:rsidR="00EF5C24" w:rsidRDefault="002E58C1">
      <w:pPr>
        <w:numPr>
          <w:ilvl w:val="0"/>
          <w:numId w:val="16"/>
        </w:numPr>
        <w:spacing w:before="120" w:after="120" w:line="288" w:lineRule="auto"/>
      </w:pPr>
      <w:r>
        <w:rPr>
          <w:rFonts w:ascii="Arial" w:eastAsia="DengXian" w:hAnsi="Arial" w:cs="Arial"/>
          <w:b/>
        </w:rPr>
        <w:t>平均总成本</w:t>
      </w:r>
      <w:r>
        <w:rPr>
          <w:rFonts w:ascii="Arial" w:eastAsia="DengXian" w:hAnsi="Arial" w:cs="Arial"/>
        </w:rPr>
        <w:t>：</w:t>
      </w:r>
      <w:r>
        <w:rPr>
          <w:rFonts w:ascii="Arial" w:eastAsia="DengXian" w:hAnsi="Arial" w:cs="Arial"/>
        </w:rPr>
        <w:t>100</w:t>
      </w:r>
      <w:r>
        <w:rPr>
          <w:rFonts w:ascii="Arial" w:eastAsia="DengXian" w:hAnsi="Arial" w:cs="Arial"/>
        </w:rPr>
        <w:t>个随机样本下的期望折扣总成本</w:t>
      </w:r>
    </w:p>
    <w:p w14:paraId="6767C70E" w14:textId="77777777" w:rsidR="00EF5C24" w:rsidRDefault="002E58C1">
      <w:pPr>
        <w:numPr>
          <w:ilvl w:val="0"/>
          <w:numId w:val="17"/>
        </w:numPr>
        <w:spacing w:before="120" w:after="120" w:line="288" w:lineRule="auto"/>
      </w:pPr>
      <w:r>
        <w:rPr>
          <w:rFonts w:ascii="Arial" w:eastAsia="DengXian" w:hAnsi="Arial" w:cs="Arial"/>
          <w:b/>
        </w:rPr>
        <w:t>相对成本差距</w:t>
      </w:r>
      <w:r>
        <w:rPr>
          <w:rFonts w:ascii="Arial" w:eastAsia="DengXian" w:hAnsi="Arial" w:cs="Arial"/>
        </w:rPr>
        <w:t>：相对于</w:t>
      </w:r>
      <w:r>
        <w:rPr>
          <w:rFonts w:ascii="Arial" w:eastAsia="DengXian" w:hAnsi="Arial" w:cs="Arial"/>
        </w:rPr>
        <w:t>WNH</w:t>
      </w:r>
      <w:r>
        <w:rPr>
          <w:rFonts w:ascii="Arial" w:eastAsia="DengXian" w:hAnsi="Arial" w:cs="Arial"/>
        </w:rPr>
        <w:t>策略的成本下降比例</w:t>
      </w:r>
    </w:p>
    <w:p w14:paraId="134C46C5" w14:textId="77777777" w:rsidR="00EF5C24" w:rsidRDefault="002E58C1">
      <w:pPr>
        <w:spacing w:before="120" w:after="120" w:line="288" w:lineRule="auto"/>
      </w:pPr>
      <m:oMathPara>
        <m:oMathParaPr>
          <m:jc m:val="left"/>
        </m:oMathParaPr>
        <m:oMath>
          <m:r>
            <m:rPr>
              <m:nor/>
            </m:rPr>
            <w:rPr>
              <w:rFonts w:ascii="Cambria Math" w:hAnsi="Cambria Math"/>
            </w:rPr>
            <m:t>Gap</m:t>
          </m:r>
          <m:r>
            <w:rPr>
              <w:rFonts w:ascii="Cambria Math" w:hAnsi="Cambria Math"/>
            </w:rPr>
            <m:t>=</m:t>
          </m:r>
          <m:f>
            <m:fPr>
              <m:ctrlPr>
                <w:rPr>
                  <w:rFonts w:ascii="Cambria Math" w:hAnsi="Cambria Math"/>
                </w:rPr>
              </m:ctrlPr>
            </m:fPr>
            <m:num>
              <m:sSub>
                <m:sSubPr>
                  <m:ctrlPr>
                    <w:rPr>
                      <w:rFonts w:ascii="Cambria Math" w:hAnsi="Cambria Math"/>
                    </w:rPr>
                  </m:ctrlPr>
                </m:sSubPr>
                <m:e>
                  <m:r>
                    <m:rPr>
                      <m:nor/>
                    </m:rPr>
                    <w:rPr>
                      <w:rFonts w:ascii="Cambria Math" w:hAnsi="Cambria Math"/>
                    </w:rPr>
                    <m:t>Cost</m:t>
                  </m:r>
                </m:e>
                <m:sub>
                  <m:r>
                    <w:rPr>
                      <w:rFonts w:ascii="Cambria Math" w:hAnsi="Cambria Math"/>
                    </w:rPr>
                    <m:t>DRL</m:t>
                  </m:r>
                </m:sub>
              </m:sSub>
              <m:r>
                <w:rPr>
                  <w:rFonts w:ascii="Cambria Math" w:hAnsi="Cambria Math"/>
                </w:rPr>
                <m:t>-</m:t>
              </m:r>
              <m:sSub>
                <m:sSubPr>
                  <m:ctrlPr>
                    <w:rPr>
                      <w:rFonts w:ascii="Cambria Math" w:hAnsi="Cambria Math"/>
                    </w:rPr>
                  </m:ctrlPr>
                </m:sSubPr>
                <m:e>
                  <m:r>
                    <m:rPr>
                      <m:nor/>
                    </m:rPr>
                    <w:rPr>
                      <w:rFonts w:ascii="Cambria Math" w:hAnsi="Cambria Math"/>
                    </w:rPr>
                    <m:t>Cost</m:t>
                  </m:r>
                </m:e>
                <m:sub>
                  <m:r>
                    <w:rPr>
                      <w:rFonts w:ascii="Cambria Math" w:hAnsi="Cambria Math"/>
                    </w:rPr>
                    <m:t>WNH</m:t>
                  </m:r>
                </m:sub>
              </m:sSub>
            </m:num>
            <m:den>
              <m:sSub>
                <m:sSubPr>
                  <m:ctrlPr>
                    <w:rPr>
                      <w:rFonts w:ascii="Cambria Math" w:hAnsi="Cambria Math"/>
                    </w:rPr>
                  </m:ctrlPr>
                </m:sSubPr>
                <m:e>
                  <m:r>
                    <m:rPr>
                      <m:nor/>
                    </m:rPr>
                    <w:rPr>
                      <w:rFonts w:ascii="Cambria Math" w:hAnsi="Cambria Math"/>
                    </w:rPr>
                    <m:t>Cost</m:t>
                  </m:r>
                </m:e>
                <m:sub>
                  <m:r>
                    <w:rPr>
                      <w:rFonts w:ascii="Cambria Math" w:hAnsi="Cambria Math"/>
                    </w:rPr>
                    <m:t>WNH</m:t>
                  </m:r>
                </m:sub>
              </m:sSub>
            </m:den>
          </m:f>
          <m:r>
            <w:rPr>
              <w:rFonts w:ascii="Cambria Math" w:hAnsi="Cambria Math"/>
            </w:rPr>
            <m:t>×100</m:t>
          </m:r>
          <m:r>
            <m:rPr>
              <m:sty m:val="p"/>
            </m:rPr>
            <w:rPr>
              <w:rFonts w:ascii="Cambria Math" w:hAnsi="Cambria Math"/>
            </w:rPr>
            <m:t>%</m:t>
          </m:r>
        </m:oMath>
      </m:oMathPara>
    </w:p>
    <w:p w14:paraId="7043AF82" w14:textId="77777777" w:rsidR="00EF5C24" w:rsidRDefault="002E58C1">
      <w:pPr>
        <w:numPr>
          <w:ilvl w:val="0"/>
          <w:numId w:val="18"/>
        </w:numPr>
        <w:spacing w:before="120" w:after="120" w:line="288" w:lineRule="auto"/>
      </w:pPr>
      <w:r>
        <w:rPr>
          <w:rFonts w:ascii="Arial" w:eastAsia="DengXian" w:hAnsi="Arial" w:cs="Arial"/>
          <w:b/>
        </w:rPr>
        <w:t>周期服务水平（</w:t>
      </w:r>
      <w:r>
        <w:rPr>
          <w:rFonts w:ascii="Arial" w:eastAsia="DengXian" w:hAnsi="Arial" w:cs="Arial"/>
          <w:b/>
        </w:rPr>
        <w:t>CSL</w:t>
      </w:r>
      <w:r>
        <w:rPr>
          <w:rFonts w:ascii="Arial" w:eastAsia="DengXian" w:hAnsi="Arial" w:cs="Arial"/>
          <w:b/>
        </w:rPr>
        <w:t>）</w:t>
      </w:r>
      <w:r>
        <w:rPr>
          <w:rFonts w:ascii="Arial" w:eastAsia="DengXian" w:hAnsi="Arial" w:cs="Arial"/>
        </w:rPr>
        <w:t>：不发生缺货的周期占比</w:t>
      </w:r>
    </w:p>
    <w:p w14:paraId="6FB0F40D" w14:textId="77777777" w:rsidR="00EF5C24" w:rsidRDefault="002E58C1">
      <w:pPr>
        <w:numPr>
          <w:ilvl w:val="0"/>
          <w:numId w:val="19"/>
        </w:numPr>
        <w:spacing w:before="120" w:after="120" w:line="288" w:lineRule="auto"/>
      </w:pPr>
      <w:r>
        <w:rPr>
          <w:rFonts w:ascii="Arial" w:eastAsia="DengXian" w:hAnsi="Arial" w:cs="Arial"/>
          <w:b/>
        </w:rPr>
        <w:t>旺季缺货率</w:t>
      </w:r>
      <w:r>
        <w:rPr>
          <w:rFonts w:ascii="Arial" w:eastAsia="DengXian" w:hAnsi="Arial" w:cs="Arial"/>
          <w:b/>
        </w:rPr>
        <w:t xml:space="preserve"> vs </w:t>
      </w:r>
      <w:r>
        <w:rPr>
          <w:rFonts w:ascii="Arial" w:eastAsia="DengXian" w:hAnsi="Arial" w:cs="Arial"/>
          <w:b/>
        </w:rPr>
        <w:t>淡季库存周转率</w:t>
      </w:r>
      <w:r>
        <w:rPr>
          <w:rFonts w:ascii="Arial" w:eastAsia="DengXian" w:hAnsi="Arial" w:cs="Arial"/>
        </w:rPr>
        <w:t>：分季节评估策略表现</w:t>
      </w:r>
    </w:p>
    <w:p w14:paraId="728F913A" w14:textId="77777777" w:rsidR="00EF5C24" w:rsidRDefault="002E58C1">
      <w:pPr>
        <w:spacing w:before="120" w:after="120" w:line="288" w:lineRule="auto"/>
      </w:pPr>
      <w:r>
        <w:rPr>
          <w:rFonts w:ascii="Arial" w:eastAsia="DengXian" w:hAnsi="Arial" w:cs="Arial"/>
          <w:b/>
        </w:rPr>
        <w:t>预期结论</w:t>
      </w:r>
      <w:r>
        <w:rPr>
          <w:rFonts w:ascii="Arial" w:eastAsia="DengXian" w:hAnsi="Arial" w:cs="Arial"/>
        </w:rPr>
        <w:t>：</w:t>
      </w:r>
    </w:p>
    <w:p w14:paraId="08C35DAD" w14:textId="77777777" w:rsidR="00EF5C24" w:rsidRDefault="002E58C1">
      <w:pPr>
        <w:numPr>
          <w:ilvl w:val="0"/>
          <w:numId w:val="20"/>
        </w:numPr>
        <w:spacing w:before="120" w:after="120" w:line="288" w:lineRule="auto"/>
      </w:pPr>
      <w:r>
        <w:rPr>
          <w:rFonts w:ascii="Arial" w:eastAsia="DengXian" w:hAnsi="Arial" w:cs="Arial"/>
        </w:rPr>
        <w:t>当</w:t>
      </w:r>
      <w:r>
        <w:rPr>
          <w:rFonts w:ascii="Arial" w:eastAsia="DengXian" w:hAnsi="Arial" w:cs="Arial"/>
        </w:rPr>
        <w:t xml:space="preserve"> </w:t>
      </w:r>
      <m:oMath>
        <m:r>
          <w:rPr>
            <w:rFonts w:ascii="Cambria Math" w:hAnsi="Cambria Math"/>
          </w:rPr>
          <m:t>A=0</m:t>
        </m:r>
      </m:oMath>
      <w:r>
        <w:rPr>
          <w:rFonts w:ascii="Arial" w:eastAsia="DengXian" w:hAnsi="Arial" w:cs="Arial"/>
        </w:rPr>
        <w:t>（无季节）时，</w:t>
      </w:r>
      <w:r>
        <w:rPr>
          <w:rFonts w:ascii="Arial" w:eastAsia="DengXian" w:hAnsi="Arial" w:cs="Arial"/>
        </w:rPr>
        <w:t>DRL-seasonal</w:t>
      </w:r>
      <w:r>
        <w:rPr>
          <w:rFonts w:ascii="Arial" w:eastAsia="DengXian" w:hAnsi="Arial" w:cs="Arial"/>
        </w:rPr>
        <w:t>性能与原</w:t>
      </w:r>
      <w:r>
        <w:rPr>
          <w:rFonts w:ascii="Arial" w:eastAsia="DengXian" w:hAnsi="Arial" w:cs="Arial"/>
        </w:rPr>
        <w:t>DRL-base</w:t>
      </w:r>
      <w:r>
        <w:rPr>
          <w:rFonts w:ascii="Arial" w:eastAsia="DengXian" w:hAnsi="Arial" w:cs="Arial"/>
        </w:rPr>
        <w:t>一致，验证模型向后兼容；</w:t>
      </w:r>
    </w:p>
    <w:p w14:paraId="49ED7636" w14:textId="77777777" w:rsidR="00EF5C24" w:rsidRDefault="002E58C1">
      <w:pPr>
        <w:numPr>
          <w:ilvl w:val="0"/>
          <w:numId w:val="21"/>
        </w:numPr>
        <w:spacing w:before="120" w:after="120" w:line="288" w:lineRule="auto"/>
      </w:pPr>
      <w:r>
        <w:rPr>
          <w:rFonts w:ascii="Arial" w:eastAsia="DengXian" w:hAnsi="Arial" w:cs="Arial"/>
        </w:rPr>
        <w:t>随着</w:t>
      </w:r>
      <w:r>
        <w:rPr>
          <w:rFonts w:ascii="Arial" w:eastAsia="DengXian" w:hAnsi="Arial" w:cs="Arial"/>
        </w:rPr>
        <w:t xml:space="preserve"> </w:t>
      </w:r>
      <m:oMath>
        <m:r>
          <w:rPr>
            <w:rFonts w:ascii="Cambria Math" w:hAnsi="Cambria Math"/>
          </w:rPr>
          <m:t>A</m:t>
        </m:r>
      </m:oMath>
      <w:r>
        <w:rPr>
          <w:rFonts w:ascii="Arial" w:eastAsia="DengXian" w:hAnsi="Arial" w:cs="Arial"/>
        </w:rPr>
        <w:t xml:space="preserve"> </w:t>
      </w:r>
      <w:r>
        <w:rPr>
          <w:rFonts w:ascii="Arial" w:eastAsia="DengXian" w:hAnsi="Arial" w:cs="Arial"/>
        </w:rPr>
        <w:t>增大，启发式策略因固定阈值的刚性导致成本显著上升，而</w:t>
      </w:r>
      <w:r>
        <w:rPr>
          <w:rFonts w:ascii="Arial" w:eastAsia="DengXian" w:hAnsi="Arial" w:cs="Arial"/>
        </w:rPr>
        <w:t>DRL</w:t>
      </w:r>
      <w:r>
        <w:rPr>
          <w:rFonts w:ascii="Arial" w:eastAsia="DengXian" w:hAnsi="Arial" w:cs="Arial"/>
        </w:rPr>
        <w:t>通过时间编码自适应调整，优势逐渐扩大；</w:t>
      </w:r>
    </w:p>
    <w:p w14:paraId="35DCD095" w14:textId="77777777" w:rsidR="00EF5C24" w:rsidRDefault="002E58C1">
      <w:pPr>
        <w:numPr>
          <w:ilvl w:val="0"/>
          <w:numId w:val="22"/>
        </w:numPr>
        <w:spacing w:before="120" w:after="120" w:line="288" w:lineRule="auto"/>
      </w:pPr>
      <w:r>
        <w:rPr>
          <w:rFonts w:ascii="Arial" w:eastAsia="DengXian" w:hAnsi="Arial" w:cs="Arial"/>
        </w:rPr>
        <w:t>DRL</w:t>
      </w:r>
      <w:r>
        <w:rPr>
          <w:rFonts w:ascii="Arial" w:eastAsia="DengXian" w:hAnsi="Arial" w:cs="Arial"/>
        </w:rPr>
        <w:t>在旺季主动提升库存应对高峰，在淡季主动降低库存减少持有与过期损失，实现供需的动态匹配。</w:t>
      </w:r>
    </w:p>
    <w:p w14:paraId="733AAB3C" w14:textId="77777777" w:rsidR="00EF5C24" w:rsidRDefault="00EF5C24">
      <w:pPr>
        <w:pBdr>
          <w:bottom w:val="single" w:sz="0" w:space="0" w:color="DEE0E3"/>
          <w:between w:val="single" w:sz="0" w:space="0" w:color="DEE0E3"/>
        </w:pBdr>
        <w:spacing w:before="120" w:after="120" w:line="288" w:lineRule="auto"/>
      </w:pPr>
    </w:p>
    <w:p w14:paraId="2CC80519" w14:textId="77777777" w:rsidR="00EF5C24" w:rsidRDefault="002E58C1">
      <w:pPr>
        <w:spacing w:before="300" w:after="120" w:line="288" w:lineRule="auto"/>
        <w:outlineLvl w:val="2"/>
      </w:pPr>
      <w:bookmarkStart w:id="17" w:name="heading_17"/>
      <w:r>
        <w:rPr>
          <w:rFonts w:ascii="Arial" w:eastAsia="DengXian" w:hAnsi="Arial" w:cs="Arial"/>
          <w:b/>
          <w:sz w:val="30"/>
        </w:rPr>
        <w:t xml:space="preserve">2.3 </w:t>
      </w:r>
      <w:r>
        <w:rPr>
          <w:rFonts w:ascii="Arial" w:eastAsia="DengXian" w:hAnsi="Arial" w:cs="Arial"/>
          <w:b/>
          <w:sz w:val="30"/>
        </w:rPr>
        <w:t>实验二：双源采购扩展的有效性验证</w:t>
      </w:r>
      <w:bookmarkEnd w:id="17"/>
    </w:p>
    <w:p w14:paraId="107863EE" w14:textId="77777777" w:rsidR="00EF5C24" w:rsidRDefault="002E58C1">
      <w:pPr>
        <w:spacing w:before="120" w:after="120" w:line="288" w:lineRule="auto"/>
      </w:pPr>
      <w:r>
        <w:rPr>
          <w:rFonts w:ascii="Arial" w:eastAsia="DengXian" w:hAnsi="Arial" w:cs="Arial"/>
          <w:b/>
        </w:rPr>
        <w:t>实验目的</w:t>
      </w:r>
      <w:r>
        <w:rPr>
          <w:rFonts w:ascii="Arial" w:eastAsia="DengXian" w:hAnsi="Arial" w:cs="Arial"/>
        </w:rPr>
        <w:t>：验证双源机制的经济价值，以及</w:t>
      </w:r>
      <w:r>
        <w:rPr>
          <w:rFonts w:ascii="Arial" w:eastAsia="DengXian" w:hAnsi="Arial" w:cs="Arial"/>
        </w:rPr>
        <w:t>DRL</w:t>
      </w:r>
      <w:r>
        <w:rPr>
          <w:rFonts w:ascii="Arial" w:eastAsia="DengXian" w:hAnsi="Arial" w:cs="Arial"/>
        </w:rPr>
        <w:t>在双渠道联合优化上优于启发式联合策略。</w:t>
      </w:r>
    </w:p>
    <w:p w14:paraId="759E5EC0" w14:textId="77777777" w:rsidR="00EF5C24" w:rsidRDefault="002E58C1">
      <w:pPr>
        <w:spacing w:before="120" w:after="120" w:line="288" w:lineRule="auto"/>
      </w:pPr>
      <w:r>
        <w:rPr>
          <w:rFonts w:ascii="Arial" w:eastAsia="DengXian" w:hAnsi="Arial" w:cs="Arial"/>
          <w:b/>
        </w:rPr>
        <w:t>实验设置</w:t>
      </w:r>
      <w:r>
        <w:rPr>
          <w:rFonts w:ascii="Arial" w:eastAsia="DengXian" w:hAnsi="Arial" w:cs="Arial"/>
        </w:rPr>
        <w:t>：</w:t>
      </w:r>
    </w:p>
    <w:p w14:paraId="57A5DBEB" w14:textId="77777777" w:rsidR="00EF5C24" w:rsidRDefault="002E58C1">
      <w:pPr>
        <w:numPr>
          <w:ilvl w:val="0"/>
          <w:numId w:val="23"/>
        </w:numPr>
        <w:spacing w:before="120" w:after="120" w:line="288" w:lineRule="auto"/>
      </w:pPr>
      <w:r>
        <w:rPr>
          <w:rFonts w:ascii="Arial" w:eastAsia="DengXian" w:hAnsi="Arial" w:cs="Arial"/>
        </w:rPr>
        <w:lastRenderedPageBreak/>
        <w:t>场景：双源采购、稳态需求</w:t>
      </w:r>
    </w:p>
    <w:p w14:paraId="10F29D11" w14:textId="77777777" w:rsidR="00EF5C24" w:rsidRDefault="002E58C1">
      <w:pPr>
        <w:numPr>
          <w:ilvl w:val="0"/>
          <w:numId w:val="24"/>
        </w:numPr>
        <w:spacing w:before="120" w:after="120" w:line="288" w:lineRule="auto"/>
      </w:pPr>
      <w:r>
        <w:rPr>
          <w:rFonts w:ascii="Arial" w:eastAsia="DengXian" w:hAnsi="Arial" w:cs="Arial"/>
        </w:rPr>
        <w:t>控制变量：保持常规渠道参数不变，调整应急渠道成本</w:t>
      </w:r>
    </w:p>
    <w:p w14:paraId="46804EB8" w14:textId="77777777" w:rsidR="00EF5C24" w:rsidRDefault="002E58C1">
      <w:pPr>
        <w:numPr>
          <w:ilvl w:val="0"/>
          <w:numId w:val="25"/>
        </w:numPr>
        <w:spacing w:before="120" w:after="120" w:line="288" w:lineRule="auto"/>
      </w:pPr>
      <w:r>
        <w:rPr>
          <w:rFonts w:ascii="Arial" w:eastAsia="DengXian" w:hAnsi="Arial" w:cs="Arial"/>
        </w:rPr>
        <w:t>参数梯度：</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∈{3,5}</m:t>
        </m:r>
      </m:oMath>
      <w:r>
        <w:rPr>
          <w:rFonts w:ascii="Arial" w:eastAsia="DengXian" w:hAnsi="Arial" w:cs="Arial"/>
        </w:rPr>
        <w:t>（对应低成本应急、高成本应急）</w:t>
      </w:r>
    </w:p>
    <w:p w14:paraId="4358D5DD" w14:textId="77777777" w:rsidR="00EF5C24" w:rsidRDefault="002E58C1">
      <w:pPr>
        <w:spacing w:before="120" w:after="120" w:line="288" w:lineRule="auto"/>
      </w:pPr>
      <w:r>
        <w:rPr>
          <w:rFonts w:ascii="Arial" w:eastAsia="DengXian" w:hAnsi="Arial" w:cs="Arial"/>
          <w:b/>
        </w:rPr>
        <w:t>对比指标</w:t>
      </w:r>
      <w:r>
        <w:rPr>
          <w:rFonts w:ascii="Arial" w:eastAsia="DengXian" w:hAnsi="Arial" w:cs="Arial"/>
        </w:rPr>
        <w:t>：</w:t>
      </w:r>
    </w:p>
    <w:p w14:paraId="42116424" w14:textId="77777777" w:rsidR="00EF5C24" w:rsidRDefault="002E58C1">
      <w:pPr>
        <w:numPr>
          <w:ilvl w:val="0"/>
          <w:numId w:val="26"/>
        </w:numPr>
        <w:spacing w:before="120" w:after="120" w:line="288" w:lineRule="auto"/>
      </w:pPr>
      <w:r>
        <w:rPr>
          <w:rFonts w:ascii="Arial" w:eastAsia="DengXian" w:hAnsi="Arial" w:cs="Arial"/>
          <w:b/>
        </w:rPr>
        <w:t>总成本对比</w:t>
      </w:r>
      <w:r>
        <w:rPr>
          <w:rFonts w:ascii="Arial" w:eastAsia="DengXian" w:hAnsi="Arial" w:cs="Arial"/>
        </w:rPr>
        <w:t>：单源</w:t>
      </w:r>
      <w:r>
        <w:rPr>
          <w:rFonts w:ascii="Arial" w:eastAsia="DengXian" w:hAnsi="Arial" w:cs="Arial"/>
        </w:rPr>
        <w:t xml:space="preserve">WNH / </w:t>
      </w:r>
      <w:r>
        <w:rPr>
          <w:rFonts w:ascii="Arial" w:eastAsia="DengXian" w:hAnsi="Arial" w:cs="Arial"/>
        </w:rPr>
        <w:t>单源</w:t>
      </w:r>
      <w:r>
        <w:rPr>
          <w:rFonts w:ascii="Arial" w:eastAsia="DengXian" w:hAnsi="Arial" w:cs="Arial"/>
        </w:rPr>
        <w:t xml:space="preserve">DRL / </w:t>
      </w:r>
      <w:r>
        <w:rPr>
          <w:rFonts w:ascii="Arial" w:eastAsia="DengXian" w:hAnsi="Arial" w:cs="Arial"/>
        </w:rPr>
        <w:t>双源</w:t>
      </w:r>
      <w:r>
        <w:rPr>
          <w:rFonts w:ascii="Arial" w:eastAsia="DengXian" w:hAnsi="Arial" w:cs="Arial"/>
        </w:rPr>
        <w:t xml:space="preserve">HEUR / </w:t>
      </w:r>
      <w:r>
        <w:rPr>
          <w:rFonts w:ascii="Arial" w:eastAsia="DengXian" w:hAnsi="Arial" w:cs="Arial"/>
        </w:rPr>
        <w:t>双源</w:t>
      </w:r>
      <w:r>
        <w:rPr>
          <w:rFonts w:ascii="Arial" w:eastAsia="DengXian" w:hAnsi="Arial" w:cs="Arial"/>
        </w:rPr>
        <w:t xml:space="preserve">DRL </w:t>
      </w:r>
      <w:r>
        <w:rPr>
          <w:rFonts w:ascii="Arial" w:eastAsia="DengXian" w:hAnsi="Arial" w:cs="Arial"/>
        </w:rPr>
        <w:t>四组横向对比</w:t>
      </w:r>
    </w:p>
    <w:p w14:paraId="303B7F4A" w14:textId="77777777" w:rsidR="00EF5C24" w:rsidRDefault="002E58C1">
      <w:pPr>
        <w:numPr>
          <w:ilvl w:val="0"/>
          <w:numId w:val="27"/>
        </w:numPr>
        <w:spacing w:before="120" w:after="120" w:line="288" w:lineRule="auto"/>
      </w:pPr>
      <w:r>
        <w:rPr>
          <w:rFonts w:ascii="Arial" w:eastAsia="DengXian" w:hAnsi="Arial" w:cs="Arial"/>
          <w:b/>
        </w:rPr>
        <w:t>库存结构分解</w:t>
      </w:r>
      <w:r>
        <w:rPr>
          <w:rFonts w:ascii="Arial" w:eastAsia="DengXian" w:hAnsi="Arial" w:cs="Arial"/>
        </w:rPr>
        <w:t>：平均常规库存水平、平均应急订货量、应急渠道触发频率</w:t>
      </w:r>
    </w:p>
    <w:p w14:paraId="758EF4EC" w14:textId="77777777" w:rsidR="00EF5C24" w:rsidRDefault="002E58C1">
      <w:pPr>
        <w:numPr>
          <w:ilvl w:val="0"/>
          <w:numId w:val="28"/>
        </w:numPr>
        <w:spacing w:before="120" w:after="120" w:line="288" w:lineRule="auto"/>
      </w:pPr>
      <w:r>
        <w:rPr>
          <w:rFonts w:ascii="Arial" w:eastAsia="DengXian" w:hAnsi="Arial" w:cs="Arial"/>
          <w:b/>
        </w:rPr>
        <w:t>缺货风险改善</w:t>
      </w:r>
      <w:r>
        <w:rPr>
          <w:rFonts w:ascii="Arial" w:eastAsia="DengXian" w:hAnsi="Arial" w:cs="Arial"/>
        </w:rPr>
        <w:t>：最大缺货深度、缺货周期占比</w:t>
      </w:r>
    </w:p>
    <w:p w14:paraId="08570709" w14:textId="77777777" w:rsidR="00EF5C24" w:rsidRDefault="002E58C1">
      <w:pPr>
        <w:spacing w:before="120" w:after="120" w:line="288" w:lineRule="auto"/>
      </w:pPr>
      <w:r>
        <w:rPr>
          <w:rFonts w:ascii="Arial" w:eastAsia="DengXian" w:hAnsi="Arial" w:cs="Arial"/>
          <w:b/>
        </w:rPr>
        <w:t>核心验证点</w:t>
      </w:r>
      <w:r>
        <w:rPr>
          <w:rFonts w:ascii="Arial" w:eastAsia="DengXian" w:hAnsi="Arial" w:cs="Arial"/>
        </w:rPr>
        <w:t>：</w:t>
      </w:r>
    </w:p>
    <w:p w14:paraId="0DB59D25" w14:textId="77777777" w:rsidR="00EF5C24" w:rsidRDefault="002E58C1">
      <w:pPr>
        <w:numPr>
          <w:ilvl w:val="0"/>
          <w:numId w:val="29"/>
        </w:numPr>
        <w:spacing w:before="120" w:after="120" w:line="288" w:lineRule="auto"/>
      </w:pPr>
      <w:r>
        <w:rPr>
          <w:rFonts w:ascii="Arial" w:eastAsia="DengXian" w:hAnsi="Arial" w:cs="Arial"/>
          <w:b/>
        </w:rPr>
        <w:t>双源机制的价值</w:t>
      </w:r>
      <w:r>
        <w:rPr>
          <w:rFonts w:ascii="Arial" w:eastAsia="DengXian" w:hAnsi="Arial" w:cs="Arial"/>
        </w:rPr>
        <w:t>：对比单源</w:t>
      </w:r>
      <w:r>
        <w:rPr>
          <w:rFonts w:ascii="Arial" w:eastAsia="DengXian" w:hAnsi="Arial" w:cs="Arial"/>
        </w:rPr>
        <w:t>DRL</w:t>
      </w:r>
      <w:r>
        <w:rPr>
          <w:rFonts w:ascii="Arial" w:eastAsia="DengXian" w:hAnsi="Arial" w:cs="Arial"/>
        </w:rPr>
        <w:t>与双源</w:t>
      </w:r>
      <w:r>
        <w:rPr>
          <w:rFonts w:ascii="Arial" w:eastAsia="DengXian" w:hAnsi="Arial" w:cs="Arial"/>
        </w:rPr>
        <w:t>HEUR</w:t>
      </w:r>
      <w:r>
        <w:rPr>
          <w:rFonts w:ascii="Arial" w:eastAsia="DengXian" w:hAnsi="Arial" w:cs="Arial"/>
        </w:rPr>
        <w:t>，证明应急渠道的引入本身就能显著降低总成本；</w:t>
      </w:r>
    </w:p>
    <w:p w14:paraId="0B5A42C0" w14:textId="77777777" w:rsidR="00EF5C24" w:rsidRDefault="002E58C1">
      <w:pPr>
        <w:numPr>
          <w:ilvl w:val="0"/>
          <w:numId w:val="30"/>
        </w:numPr>
        <w:spacing w:before="120" w:after="120" w:line="288" w:lineRule="auto"/>
      </w:pPr>
      <w:r>
        <w:rPr>
          <w:rFonts w:ascii="Arial" w:eastAsia="DengXian" w:hAnsi="Arial" w:cs="Arial"/>
          <w:b/>
        </w:rPr>
        <w:t>DRL</w:t>
      </w:r>
      <w:r>
        <w:rPr>
          <w:rFonts w:ascii="Arial" w:eastAsia="DengXian" w:hAnsi="Arial" w:cs="Arial"/>
          <w:b/>
        </w:rPr>
        <w:t>的协同优化价值</w:t>
      </w:r>
      <w:r>
        <w:rPr>
          <w:rFonts w:ascii="Arial" w:eastAsia="DengXian" w:hAnsi="Arial" w:cs="Arial"/>
        </w:rPr>
        <w:t>：对比</w:t>
      </w:r>
      <w:r>
        <w:rPr>
          <w:rFonts w:ascii="Arial" w:eastAsia="DengXian" w:hAnsi="Arial" w:cs="Arial"/>
        </w:rPr>
        <w:t>HEUR</w:t>
      </w:r>
      <w:r>
        <w:rPr>
          <w:rFonts w:ascii="Arial" w:eastAsia="DengXian" w:hAnsi="Arial" w:cs="Arial"/>
        </w:rPr>
        <w:t>与双源</w:t>
      </w:r>
      <w:r>
        <w:rPr>
          <w:rFonts w:ascii="Arial" w:eastAsia="DengXian" w:hAnsi="Arial" w:cs="Arial"/>
        </w:rPr>
        <w:t>DRL</w:t>
      </w:r>
      <w:r>
        <w:rPr>
          <w:rFonts w:ascii="Arial" w:eastAsia="DengXian" w:hAnsi="Arial" w:cs="Arial"/>
        </w:rPr>
        <w:t>，证明</w:t>
      </w:r>
      <w:r>
        <w:rPr>
          <w:rFonts w:ascii="Arial" w:eastAsia="DengXian" w:hAnsi="Arial" w:cs="Arial"/>
        </w:rPr>
        <w:t>DRL</w:t>
      </w:r>
      <w:r>
        <w:rPr>
          <w:rFonts w:ascii="Arial" w:eastAsia="DengXian" w:hAnsi="Arial" w:cs="Arial"/>
        </w:rPr>
        <w:t>能学习到</w:t>
      </w:r>
      <w:r>
        <w:rPr>
          <w:rFonts w:ascii="Arial" w:eastAsia="DengXian" w:hAnsi="Arial" w:cs="Arial"/>
        </w:rPr>
        <w:t>"</w:t>
      </w:r>
      <w:r>
        <w:rPr>
          <w:rFonts w:ascii="Arial" w:eastAsia="DengXian" w:hAnsi="Arial" w:cs="Arial"/>
        </w:rPr>
        <w:t>常规渠道适当降库存、应急渠道精准兜底</w:t>
      </w:r>
      <w:r>
        <w:rPr>
          <w:rFonts w:ascii="Arial" w:eastAsia="DengXian" w:hAnsi="Arial" w:cs="Arial"/>
        </w:rPr>
        <w:t>"</w:t>
      </w:r>
      <w:r>
        <w:rPr>
          <w:rFonts w:ascii="Arial" w:eastAsia="DengXian" w:hAnsi="Arial" w:cs="Arial"/>
        </w:rPr>
        <w:t>的协同策略，比简单叠加两个启发式策略成本更低；</w:t>
      </w:r>
    </w:p>
    <w:p w14:paraId="20BF7CF8" w14:textId="77777777" w:rsidR="00EF5C24" w:rsidRDefault="002E58C1">
      <w:pPr>
        <w:numPr>
          <w:ilvl w:val="0"/>
          <w:numId w:val="31"/>
        </w:numPr>
        <w:spacing w:before="120" w:after="120" w:line="288" w:lineRule="auto"/>
      </w:pPr>
      <w:r>
        <w:rPr>
          <w:rFonts w:ascii="Arial" w:eastAsia="DengXian" w:hAnsi="Arial" w:cs="Arial"/>
          <w:b/>
        </w:rPr>
        <w:t>成本敏感性</w:t>
      </w:r>
      <w:r>
        <w:rPr>
          <w:rFonts w:ascii="Arial" w:eastAsia="DengXian" w:hAnsi="Arial" w:cs="Arial"/>
        </w:rPr>
        <w:t>：应急成本越高，</w:t>
      </w:r>
      <w:r>
        <w:rPr>
          <w:rFonts w:ascii="Arial" w:eastAsia="DengXian" w:hAnsi="Arial" w:cs="Arial"/>
        </w:rPr>
        <w:t>DRL</w:t>
      </w:r>
      <w:r>
        <w:rPr>
          <w:rFonts w:ascii="Arial" w:eastAsia="DengXian" w:hAnsi="Arial" w:cs="Arial"/>
        </w:rPr>
        <w:t>相对于启发式的优势越明显，因为</w:t>
      </w:r>
      <w:r>
        <w:rPr>
          <w:rFonts w:ascii="Arial" w:eastAsia="DengXian" w:hAnsi="Arial" w:cs="Arial"/>
        </w:rPr>
        <w:t>DRL</w:t>
      </w:r>
      <w:r>
        <w:rPr>
          <w:rFonts w:ascii="Arial" w:eastAsia="DengXian" w:hAnsi="Arial" w:cs="Arial"/>
        </w:rPr>
        <w:t>能更精细地权衡应急触发时机。</w:t>
      </w:r>
    </w:p>
    <w:p w14:paraId="6D29F8ED" w14:textId="77777777" w:rsidR="00EF5C24" w:rsidRDefault="00EF5C24">
      <w:pPr>
        <w:pBdr>
          <w:bottom w:val="single" w:sz="0" w:space="0" w:color="DEE0E3"/>
          <w:between w:val="single" w:sz="0" w:space="0" w:color="DEE0E3"/>
        </w:pBdr>
        <w:spacing w:before="120" w:after="120" w:line="288" w:lineRule="auto"/>
      </w:pPr>
    </w:p>
    <w:p w14:paraId="7E3F9D32" w14:textId="77777777" w:rsidR="00EF5C24" w:rsidRDefault="002E58C1">
      <w:pPr>
        <w:spacing w:before="300" w:after="120" w:line="288" w:lineRule="auto"/>
        <w:outlineLvl w:val="2"/>
      </w:pPr>
      <w:bookmarkStart w:id="18" w:name="heading_18"/>
      <w:r>
        <w:rPr>
          <w:rFonts w:ascii="Arial" w:eastAsia="DengXian" w:hAnsi="Arial" w:cs="Arial"/>
          <w:b/>
          <w:sz w:val="30"/>
        </w:rPr>
        <w:t xml:space="preserve">2.4 </w:t>
      </w:r>
      <w:r>
        <w:rPr>
          <w:rFonts w:ascii="Arial" w:eastAsia="DengXian" w:hAnsi="Arial" w:cs="Arial"/>
          <w:b/>
          <w:sz w:val="30"/>
        </w:rPr>
        <w:t>实验三：双扩展联合有效性验证</w:t>
      </w:r>
      <w:bookmarkEnd w:id="18"/>
    </w:p>
    <w:p w14:paraId="697E862A" w14:textId="77777777" w:rsidR="00EF5C24" w:rsidRDefault="002E58C1">
      <w:pPr>
        <w:spacing w:before="120" w:after="120" w:line="288" w:lineRule="auto"/>
      </w:pPr>
      <w:r>
        <w:rPr>
          <w:rFonts w:ascii="Arial" w:eastAsia="DengXian" w:hAnsi="Arial" w:cs="Arial"/>
          <w:b/>
        </w:rPr>
        <w:t>实验目的</w:t>
      </w:r>
      <w:r>
        <w:rPr>
          <w:rFonts w:ascii="Arial" w:eastAsia="DengXian" w:hAnsi="Arial" w:cs="Arial"/>
        </w:rPr>
        <w:t>：验证季节性</w:t>
      </w:r>
      <w:r>
        <w:rPr>
          <w:rFonts w:ascii="Arial" w:eastAsia="DengXian" w:hAnsi="Arial" w:cs="Arial"/>
        </w:rPr>
        <w:t>+</w:t>
      </w:r>
      <w:r>
        <w:rPr>
          <w:rFonts w:ascii="Arial" w:eastAsia="DengXian" w:hAnsi="Arial" w:cs="Arial"/>
        </w:rPr>
        <w:t>双源的完整扩展模型在药品供应链场景下的综合性能。</w:t>
      </w:r>
    </w:p>
    <w:p w14:paraId="35EDF4F7" w14:textId="77777777" w:rsidR="00EF5C24" w:rsidRDefault="002E58C1">
      <w:pPr>
        <w:spacing w:before="120" w:after="120" w:line="288" w:lineRule="auto"/>
      </w:pPr>
      <w:r>
        <w:rPr>
          <w:rFonts w:ascii="Arial" w:eastAsia="DengXian" w:hAnsi="Arial" w:cs="Arial"/>
          <w:b/>
        </w:rPr>
        <w:t>实验设置</w:t>
      </w:r>
      <w:r>
        <w:rPr>
          <w:rFonts w:ascii="Arial" w:eastAsia="DengXian" w:hAnsi="Arial" w:cs="Arial"/>
        </w:rPr>
        <w:t>：</w:t>
      </w:r>
    </w:p>
    <w:p w14:paraId="04DB7D4D" w14:textId="77777777" w:rsidR="00EF5C24" w:rsidRDefault="002E58C1">
      <w:pPr>
        <w:numPr>
          <w:ilvl w:val="0"/>
          <w:numId w:val="32"/>
        </w:numPr>
        <w:spacing w:before="120" w:after="120" w:line="288" w:lineRule="auto"/>
      </w:pPr>
      <w:r>
        <w:rPr>
          <w:rFonts w:ascii="Arial" w:eastAsia="DengXian" w:hAnsi="Arial" w:cs="Arial"/>
        </w:rPr>
        <w:t>场景：双源采购</w:t>
      </w:r>
      <w:r>
        <w:rPr>
          <w:rFonts w:ascii="Arial" w:eastAsia="DengXian" w:hAnsi="Arial" w:cs="Arial"/>
        </w:rPr>
        <w:t xml:space="preserve"> + </w:t>
      </w:r>
      <w:r>
        <w:rPr>
          <w:rFonts w:ascii="Arial" w:eastAsia="DengXian" w:hAnsi="Arial" w:cs="Arial"/>
        </w:rPr>
        <w:t>季节性需求（完整扩展模型）</w:t>
      </w:r>
    </w:p>
    <w:p w14:paraId="7362B714" w14:textId="77777777" w:rsidR="00EF5C24" w:rsidRDefault="002E58C1">
      <w:pPr>
        <w:numPr>
          <w:ilvl w:val="0"/>
          <w:numId w:val="33"/>
        </w:numPr>
        <w:spacing w:before="120" w:after="120" w:line="288" w:lineRule="auto"/>
      </w:pPr>
      <w:r>
        <w:rPr>
          <w:rFonts w:ascii="Arial" w:eastAsia="DengXian" w:hAnsi="Arial" w:cs="Arial"/>
        </w:rPr>
        <w:t>对比基线：原论文单源稳态模型（作为性能基准线）</w:t>
      </w:r>
    </w:p>
    <w:p w14:paraId="2D167EBE" w14:textId="77777777" w:rsidR="00EF5C24" w:rsidRDefault="002E58C1">
      <w:pPr>
        <w:spacing w:before="120" w:after="120" w:line="288" w:lineRule="auto"/>
      </w:pPr>
      <w:r>
        <w:rPr>
          <w:rFonts w:ascii="Arial" w:eastAsia="DengXian" w:hAnsi="Arial" w:cs="Arial"/>
          <w:b/>
        </w:rPr>
        <w:t>对比维度</w:t>
      </w:r>
      <w:r>
        <w:rPr>
          <w:rFonts w:ascii="Arial" w:eastAsia="DengXian" w:hAnsi="Arial" w:cs="Arial"/>
        </w:rPr>
        <w:t>：</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231CA2" w14:paraId="5572ED32" w14:textId="77777777">
        <w:tblPrEx>
          <w:tblCellMar>
            <w:top w:w="0" w:type="dxa"/>
            <w:bottom w:w="0" w:type="dxa"/>
          </w:tblCellMar>
        </w:tblPrEx>
        <w:tc>
          <w:tcPr>
            <w:tcW w:w="2070" w:type="dxa"/>
            <w:tcMar>
              <w:top w:w="60" w:type="dxa"/>
              <w:left w:w="120" w:type="dxa"/>
              <w:bottom w:w="30" w:type="dxa"/>
              <w:right w:w="120" w:type="dxa"/>
            </w:tcMar>
          </w:tcPr>
          <w:p w14:paraId="5308F7E5" w14:textId="77777777" w:rsidR="00EF5C24" w:rsidRDefault="002E58C1">
            <w:pPr>
              <w:spacing w:before="120" w:after="120" w:line="288" w:lineRule="auto"/>
            </w:pPr>
            <w:r>
              <w:rPr>
                <w:rFonts w:ascii="Arial" w:eastAsia="DengXian" w:hAnsi="Arial" w:cs="Arial"/>
              </w:rPr>
              <w:t>对比维度</w:t>
            </w:r>
          </w:p>
        </w:tc>
        <w:tc>
          <w:tcPr>
            <w:tcW w:w="2070" w:type="dxa"/>
            <w:tcMar>
              <w:top w:w="60" w:type="dxa"/>
              <w:left w:w="120" w:type="dxa"/>
              <w:bottom w:w="30" w:type="dxa"/>
              <w:right w:w="120" w:type="dxa"/>
            </w:tcMar>
          </w:tcPr>
          <w:p w14:paraId="1A1AE0DD" w14:textId="77777777" w:rsidR="00EF5C24" w:rsidRDefault="002E58C1">
            <w:pPr>
              <w:spacing w:before="120" w:after="120" w:line="288" w:lineRule="auto"/>
            </w:pPr>
            <w:r>
              <w:rPr>
                <w:rFonts w:ascii="Arial" w:eastAsia="DengXian" w:hAnsi="Arial" w:cs="Arial"/>
              </w:rPr>
              <w:t>原基准模型</w:t>
            </w:r>
          </w:p>
        </w:tc>
        <w:tc>
          <w:tcPr>
            <w:tcW w:w="2070" w:type="dxa"/>
            <w:tcMar>
              <w:top w:w="60" w:type="dxa"/>
              <w:left w:w="120" w:type="dxa"/>
              <w:bottom w:w="30" w:type="dxa"/>
              <w:right w:w="120" w:type="dxa"/>
            </w:tcMar>
          </w:tcPr>
          <w:p w14:paraId="14313B81" w14:textId="77777777" w:rsidR="00EF5C24" w:rsidRDefault="002E58C1">
            <w:pPr>
              <w:spacing w:before="120" w:after="120" w:line="288" w:lineRule="auto"/>
            </w:pPr>
            <w:r>
              <w:rPr>
                <w:rFonts w:ascii="Arial" w:eastAsia="DengXian" w:hAnsi="Arial" w:cs="Arial"/>
              </w:rPr>
              <w:t>完整扩展模型</w:t>
            </w:r>
          </w:p>
        </w:tc>
        <w:tc>
          <w:tcPr>
            <w:tcW w:w="2070" w:type="dxa"/>
            <w:tcMar>
              <w:top w:w="60" w:type="dxa"/>
              <w:left w:w="120" w:type="dxa"/>
              <w:bottom w:w="30" w:type="dxa"/>
              <w:right w:w="120" w:type="dxa"/>
            </w:tcMar>
          </w:tcPr>
          <w:p w14:paraId="3FC486B3" w14:textId="77777777" w:rsidR="00EF5C24" w:rsidRDefault="002E58C1">
            <w:pPr>
              <w:spacing w:before="120" w:after="120" w:line="288" w:lineRule="auto"/>
            </w:pPr>
            <w:r>
              <w:rPr>
                <w:rFonts w:ascii="Arial" w:eastAsia="DengXian" w:hAnsi="Arial" w:cs="Arial"/>
              </w:rPr>
              <w:t>改进意义</w:t>
            </w:r>
          </w:p>
        </w:tc>
      </w:tr>
      <w:tr w:rsidR="00231CA2" w14:paraId="38EFADF6" w14:textId="77777777">
        <w:tblPrEx>
          <w:tblCellMar>
            <w:top w:w="0" w:type="dxa"/>
            <w:bottom w:w="0" w:type="dxa"/>
          </w:tblCellMar>
        </w:tblPrEx>
        <w:tc>
          <w:tcPr>
            <w:tcW w:w="2070" w:type="dxa"/>
            <w:tcMar>
              <w:top w:w="60" w:type="dxa"/>
              <w:left w:w="120" w:type="dxa"/>
              <w:bottom w:w="30" w:type="dxa"/>
              <w:right w:w="120" w:type="dxa"/>
            </w:tcMar>
          </w:tcPr>
          <w:p w14:paraId="7E7D46C4" w14:textId="77777777" w:rsidR="00EF5C24" w:rsidRDefault="002E58C1">
            <w:pPr>
              <w:spacing w:before="120" w:after="120" w:line="288" w:lineRule="auto"/>
            </w:pPr>
            <w:r>
              <w:rPr>
                <w:rFonts w:ascii="Arial" w:eastAsia="DengXian" w:hAnsi="Arial" w:cs="Arial"/>
              </w:rPr>
              <w:t>总成本</w:t>
            </w:r>
          </w:p>
        </w:tc>
        <w:tc>
          <w:tcPr>
            <w:tcW w:w="2070" w:type="dxa"/>
            <w:tcMar>
              <w:top w:w="60" w:type="dxa"/>
              <w:left w:w="120" w:type="dxa"/>
              <w:bottom w:w="30" w:type="dxa"/>
              <w:right w:w="120" w:type="dxa"/>
            </w:tcMar>
          </w:tcPr>
          <w:p w14:paraId="2710C1DE" w14:textId="77777777" w:rsidR="00EF5C24" w:rsidRDefault="002E58C1">
            <w:pPr>
              <w:spacing w:before="120" w:after="120" w:line="288" w:lineRule="auto"/>
            </w:pPr>
            <w:r>
              <w:rPr>
                <w:rFonts w:ascii="Arial" w:eastAsia="DengXian" w:hAnsi="Arial" w:cs="Arial"/>
              </w:rPr>
              <w:t>高</w:t>
            </w:r>
          </w:p>
        </w:tc>
        <w:tc>
          <w:tcPr>
            <w:tcW w:w="2070" w:type="dxa"/>
            <w:tcMar>
              <w:top w:w="60" w:type="dxa"/>
              <w:left w:w="120" w:type="dxa"/>
              <w:bottom w:w="30" w:type="dxa"/>
              <w:right w:w="120" w:type="dxa"/>
            </w:tcMar>
          </w:tcPr>
          <w:p w14:paraId="48EA3472" w14:textId="77777777" w:rsidR="00EF5C24" w:rsidRDefault="002E58C1">
            <w:pPr>
              <w:spacing w:before="120" w:after="120" w:line="288" w:lineRule="auto"/>
            </w:pPr>
            <w:r>
              <w:rPr>
                <w:rFonts w:ascii="Arial" w:eastAsia="DengXian" w:hAnsi="Arial" w:cs="Arial"/>
              </w:rPr>
              <w:t>显著降低</w:t>
            </w:r>
          </w:p>
        </w:tc>
        <w:tc>
          <w:tcPr>
            <w:tcW w:w="2070" w:type="dxa"/>
            <w:tcMar>
              <w:top w:w="60" w:type="dxa"/>
              <w:left w:w="120" w:type="dxa"/>
              <w:bottom w:w="30" w:type="dxa"/>
              <w:right w:w="120" w:type="dxa"/>
            </w:tcMar>
          </w:tcPr>
          <w:p w14:paraId="5BEAC83D" w14:textId="77777777" w:rsidR="00EF5C24" w:rsidRDefault="002E58C1">
            <w:pPr>
              <w:spacing w:before="120" w:after="120" w:line="288" w:lineRule="auto"/>
            </w:pPr>
            <w:r>
              <w:rPr>
                <w:rFonts w:ascii="Arial" w:eastAsia="DengXian" w:hAnsi="Arial" w:cs="Arial"/>
              </w:rPr>
              <w:t>整体经济效益</w:t>
            </w:r>
          </w:p>
        </w:tc>
      </w:tr>
      <w:tr w:rsidR="00231CA2" w14:paraId="13C39AA2" w14:textId="77777777">
        <w:tblPrEx>
          <w:tblCellMar>
            <w:top w:w="0" w:type="dxa"/>
            <w:bottom w:w="0" w:type="dxa"/>
          </w:tblCellMar>
        </w:tblPrEx>
        <w:tc>
          <w:tcPr>
            <w:tcW w:w="2070" w:type="dxa"/>
            <w:tcMar>
              <w:top w:w="60" w:type="dxa"/>
              <w:left w:w="120" w:type="dxa"/>
              <w:bottom w:w="30" w:type="dxa"/>
              <w:right w:w="120" w:type="dxa"/>
            </w:tcMar>
          </w:tcPr>
          <w:p w14:paraId="6F3B99FB" w14:textId="77777777" w:rsidR="00EF5C24" w:rsidRDefault="002E58C1">
            <w:pPr>
              <w:spacing w:before="120" w:after="120" w:line="288" w:lineRule="auto"/>
            </w:pPr>
            <w:r>
              <w:rPr>
                <w:rFonts w:ascii="Arial" w:eastAsia="DengXian" w:hAnsi="Arial" w:cs="Arial"/>
              </w:rPr>
              <w:t>峰值缺货率</w:t>
            </w:r>
          </w:p>
        </w:tc>
        <w:tc>
          <w:tcPr>
            <w:tcW w:w="2070" w:type="dxa"/>
            <w:tcMar>
              <w:top w:w="60" w:type="dxa"/>
              <w:left w:w="120" w:type="dxa"/>
              <w:bottom w:w="30" w:type="dxa"/>
              <w:right w:w="120" w:type="dxa"/>
            </w:tcMar>
          </w:tcPr>
          <w:p w14:paraId="5C8F1610" w14:textId="77777777" w:rsidR="00EF5C24" w:rsidRDefault="002E58C1">
            <w:pPr>
              <w:spacing w:before="120" w:after="120" w:line="288" w:lineRule="auto"/>
            </w:pPr>
            <w:r>
              <w:rPr>
                <w:rFonts w:ascii="Arial" w:eastAsia="DengXian" w:hAnsi="Arial" w:cs="Arial"/>
              </w:rPr>
              <w:t>高（旺季断货）</w:t>
            </w:r>
          </w:p>
        </w:tc>
        <w:tc>
          <w:tcPr>
            <w:tcW w:w="2070" w:type="dxa"/>
            <w:tcMar>
              <w:top w:w="60" w:type="dxa"/>
              <w:left w:w="120" w:type="dxa"/>
              <w:bottom w:w="30" w:type="dxa"/>
              <w:right w:w="120" w:type="dxa"/>
            </w:tcMar>
          </w:tcPr>
          <w:p w14:paraId="784E4298" w14:textId="77777777" w:rsidR="00EF5C24" w:rsidRDefault="002E58C1">
            <w:pPr>
              <w:spacing w:before="120" w:after="120" w:line="288" w:lineRule="auto"/>
            </w:pPr>
            <w:r>
              <w:rPr>
                <w:rFonts w:ascii="Arial" w:eastAsia="DengXian" w:hAnsi="Arial" w:cs="Arial"/>
              </w:rPr>
              <w:t>显著降低</w:t>
            </w:r>
          </w:p>
        </w:tc>
        <w:tc>
          <w:tcPr>
            <w:tcW w:w="2070" w:type="dxa"/>
            <w:tcMar>
              <w:top w:w="60" w:type="dxa"/>
              <w:left w:w="120" w:type="dxa"/>
              <w:bottom w:w="30" w:type="dxa"/>
              <w:right w:w="120" w:type="dxa"/>
            </w:tcMar>
          </w:tcPr>
          <w:p w14:paraId="6D5DB8CD" w14:textId="77777777" w:rsidR="00EF5C24" w:rsidRDefault="002E58C1">
            <w:pPr>
              <w:spacing w:before="120" w:after="120" w:line="288" w:lineRule="auto"/>
            </w:pPr>
            <w:r>
              <w:rPr>
                <w:rFonts w:ascii="Arial" w:eastAsia="DengXian" w:hAnsi="Arial" w:cs="Arial"/>
              </w:rPr>
              <w:t>药品可及性提升</w:t>
            </w:r>
          </w:p>
        </w:tc>
      </w:tr>
      <w:tr w:rsidR="00231CA2" w14:paraId="47B94663" w14:textId="77777777">
        <w:tblPrEx>
          <w:tblCellMar>
            <w:top w:w="0" w:type="dxa"/>
            <w:bottom w:w="0" w:type="dxa"/>
          </w:tblCellMar>
        </w:tblPrEx>
        <w:tc>
          <w:tcPr>
            <w:tcW w:w="2070" w:type="dxa"/>
            <w:tcMar>
              <w:top w:w="60" w:type="dxa"/>
              <w:left w:w="120" w:type="dxa"/>
              <w:bottom w:w="30" w:type="dxa"/>
              <w:right w:w="120" w:type="dxa"/>
            </w:tcMar>
          </w:tcPr>
          <w:p w14:paraId="4E309552" w14:textId="77777777" w:rsidR="00EF5C24" w:rsidRDefault="002E58C1">
            <w:pPr>
              <w:spacing w:before="120" w:after="120" w:line="288" w:lineRule="auto"/>
            </w:pPr>
            <w:r>
              <w:rPr>
                <w:rFonts w:ascii="Arial" w:eastAsia="DengXian" w:hAnsi="Arial" w:cs="Arial"/>
              </w:rPr>
              <w:t>淡季库存水平</w:t>
            </w:r>
          </w:p>
        </w:tc>
        <w:tc>
          <w:tcPr>
            <w:tcW w:w="2070" w:type="dxa"/>
            <w:tcMar>
              <w:top w:w="60" w:type="dxa"/>
              <w:left w:w="120" w:type="dxa"/>
              <w:bottom w:w="30" w:type="dxa"/>
              <w:right w:w="120" w:type="dxa"/>
            </w:tcMar>
          </w:tcPr>
          <w:p w14:paraId="38DD3B43" w14:textId="77777777" w:rsidR="00EF5C24" w:rsidRDefault="002E58C1">
            <w:pPr>
              <w:spacing w:before="120" w:after="120" w:line="288" w:lineRule="auto"/>
            </w:pPr>
            <w:r>
              <w:rPr>
                <w:rFonts w:ascii="Arial" w:eastAsia="DengXian" w:hAnsi="Arial" w:cs="Arial"/>
              </w:rPr>
              <w:t>偏高（积压过期）</w:t>
            </w:r>
          </w:p>
        </w:tc>
        <w:tc>
          <w:tcPr>
            <w:tcW w:w="2070" w:type="dxa"/>
            <w:tcMar>
              <w:top w:w="60" w:type="dxa"/>
              <w:left w:w="120" w:type="dxa"/>
              <w:bottom w:w="30" w:type="dxa"/>
              <w:right w:w="120" w:type="dxa"/>
            </w:tcMar>
          </w:tcPr>
          <w:p w14:paraId="1A375654" w14:textId="77777777" w:rsidR="00EF5C24" w:rsidRDefault="002E58C1">
            <w:pPr>
              <w:spacing w:before="120" w:after="120" w:line="288" w:lineRule="auto"/>
            </w:pPr>
            <w:r>
              <w:rPr>
                <w:rFonts w:ascii="Arial" w:eastAsia="DengXian" w:hAnsi="Arial" w:cs="Arial"/>
              </w:rPr>
              <w:t>显著降低</w:t>
            </w:r>
          </w:p>
        </w:tc>
        <w:tc>
          <w:tcPr>
            <w:tcW w:w="2070" w:type="dxa"/>
            <w:tcMar>
              <w:top w:w="60" w:type="dxa"/>
              <w:left w:w="120" w:type="dxa"/>
              <w:bottom w:w="30" w:type="dxa"/>
              <w:right w:w="120" w:type="dxa"/>
            </w:tcMar>
          </w:tcPr>
          <w:p w14:paraId="57F797F3" w14:textId="77777777" w:rsidR="00EF5C24" w:rsidRDefault="002E58C1">
            <w:pPr>
              <w:spacing w:before="120" w:after="120" w:line="288" w:lineRule="auto"/>
            </w:pPr>
            <w:r>
              <w:rPr>
                <w:rFonts w:ascii="Arial" w:eastAsia="DengXian" w:hAnsi="Arial" w:cs="Arial"/>
              </w:rPr>
              <w:t>减少过期损失</w:t>
            </w:r>
          </w:p>
        </w:tc>
      </w:tr>
      <w:tr w:rsidR="00231CA2" w14:paraId="624925CB" w14:textId="77777777">
        <w:tblPrEx>
          <w:tblCellMar>
            <w:top w:w="0" w:type="dxa"/>
            <w:bottom w:w="0" w:type="dxa"/>
          </w:tblCellMar>
        </w:tblPrEx>
        <w:tc>
          <w:tcPr>
            <w:tcW w:w="2070" w:type="dxa"/>
            <w:tcMar>
              <w:top w:w="60" w:type="dxa"/>
              <w:left w:w="120" w:type="dxa"/>
              <w:bottom w:w="30" w:type="dxa"/>
              <w:right w:w="120" w:type="dxa"/>
            </w:tcMar>
          </w:tcPr>
          <w:p w14:paraId="53ACF404" w14:textId="77777777" w:rsidR="00EF5C24" w:rsidRDefault="002E58C1">
            <w:pPr>
              <w:spacing w:before="120" w:after="120" w:line="288" w:lineRule="auto"/>
            </w:pPr>
            <w:r>
              <w:rPr>
                <w:rFonts w:ascii="Arial" w:eastAsia="DengXian" w:hAnsi="Arial" w:cs="Arial"/>
              </w:rPr>
              <w:t>供应中断鲁棒性</w:t>
            </w:r>
          </w:p>
        </w:tc>
        <w:tc>
          <w:tcPr>
            <w:tcW w:w="2070" w:type="dxa"/>
            <w:tcMar>
              <w:top w:w="60" w:type="dxa"/>
              <w:left w:w="120" w:type="dxa"/>
              <w:bottom w:w="30" w:type="dxa"/>
              <w:right w:w="120" w:type="dxa"/>
            </w:tcMar>
          </w:tcPr>
          <w:p w14:paraId="2D1A0EC0" w14:textId="77777777" w:rsidR="00EF5C24" w:rsidRDefault="002E58C1">
            <w:pPr>
              <w:spacing w:before="120" w:after="120" w:line="288" w:lineRule="auto"/>
            </w:pPr>
            <w:r>
              <w:rPr>
                <w:rFonts w:ascii="Arial" w:eastAsia="DengXian" w:hAnsi="Arial" w:cs="Arial"/>
              </w:rPr>
              <w:t>弱（单渠道依赖）</w:t>
            </w:r>
          </w:p>
        </w:tc>
        <w:tc>
          <w:tcPr>
            <w:tcW w:w="2070" w:type="dxa"/>
            <w:tcMar>
              <w:top w:w="60" w:type="dxa"/>
              <w:left w:w="120" w:type="dxa"/>
              <w:bottom w:w="30" w:type="dxa"/>
              <w:right w:w="120" w:type="dxa"/>
            </w:tcMar>
          </w:tcPr>
          <w:p w14:paraId="5BB4B8A9" w14:textId="77777777" w:rsidR="00EF5C24" w:rsidRDefault="002E58C1">
            <w:pPr>
              <w:spacing w:before="120" w:after="120" w:line="288" w:lineRule="auto"/>
            </w:pPr>
            <w:r>
              <w:rPr>
                <w:rFonts w:ascii="Arial" w:eastAsia="DengXian" w:hAnsi="Arial" w:cs="Arial"/>
              </w:rPr>
              <w:t>强（双渠道兜底）</w:t>
            </w:r>
          </w:p>
        </w:tc>
        <w:tc>
          <w:tcPr>
            <w:tcW w:w="2070" w:type="dxa"/>
            <w:tcMar>
              <w:top w:w="60" w:type="dxa"/>
              <w:left w:w="120" w:type="dxa"/>
              <w:bottom w:w="30" w:type="dxa"/>
              <w:right w:w="120" w:type="dxa"/>
            </w:tcMar>
          </w:tcPr>
          <w:p w14:paraId="3F1D0E3A" w14:textId="77777777" w:rsidR="00EF5C24" w:rsidRDefault="002E58C1">
            <w:pPr>
              <w:spacing w:before="120" w:after="120" w:line="288" w:lineRule="auto"/>
            </w:pPr>
            <w:r>
              <w:rPr>
                <w:rFonts w:ascii="Arial" w:eastAsia="DengXian" w:hAnsi="Arial" w:cs="Arial"/>
              </w:rPr>
              <w:t>供应链韧性提升</w:t>
            </w:r>
          </w:p>
        </w:tc>
      </w:tr>
    </w:tbl>
    <w:p w14:paraId="154097DE" w14:textId="77777777" w:rsidR="00EF5C24" w:rsidRDefault="002E58C1">
      <w:pPr>
        <w:spacing w:before="120" w:after="120" w:line="288" w:lineRule="auto"/>
      </w:pPr>
      <w:r>
        <w:rPr>
          <w:rFonts w:ascii="Arial" w:eastAsia="DengXian" w:hAnsi="Arial" w:cs="Arial"/>
          <w:b/>
        </w:rPr>
        <w:t>预期结论</w:t>
      </w:r>
      <w:r>
        <w:rPr>
          <w:rFonts w:ascii="Arial" w:eastAsia="DengXian" w:hAnsi="Arial" w:cs="Arial"/>
        </w:rPr>
        <w:t>：两个扩展具有协同效应</w:t>
      </w:r>
      <w:r>
        <w:rPr>
          <w:rFonts w:ascii="Arial" w:eastAsia="DengXian" w:hAnsi="Arial" w:cs="Arial"/>
        </w:rPr>
        <w:t>——</w:t>
      </w:r>
      <w:r>
        <w:rPr>
          <w:rFonts w:ascii="Arial" w:eastAsia="DengXian" w:hAnsi="Arial" w:cs="Arial"/>
        </w:rPr>
        <w:t>季节性导致的旺季缺货风险，恰好可以通过应</w:t>
      </w:r>
      <w:r>
        <w:rPr>
          <w:rFonts w:ascii="Arial" w:eastAsia="DengXian" w:hAnsi="Arial" w:cs="Arial"/>
        </w:rPr>
        <w:lastRenderedPageBreak/>
        <w:t>急渠道精准兜底；而应急渠道的高成本特性，又可以通过季节性预判实现按需触发，避免过度使用。</w:t>
      </w:r>
    </w:p>
    <w:p w14:paraId="6A0ECE1A" w14:textId="77777777" w:rsidR="00EF5C24" w:rsidRDefault="00EF5C24">
      <w:pPr>
        <w:pBdr>
          <w:bottom w:val="single" w:sz="0" w:space="0" w:color="DEE0E3"/>
          <w:between w:val="single" w:sz="0" w:space="0" w:color="DEE0E3"/>
        </w:pBdr>
        <w:spacing w:before="120" w:after="120" w:line="288" w:lineRule="auto"/>
      </w:pPr>
    </w:p>
    <w:p w14:paraId="5505ACF6" w14:textId="77777777" w:rsidR="00EF5C24" w:rsidRDefault="002E58C1">
      <w:pPr>
        <w:spacing w:before="300" w:after="120" w:line="288" w:lineRule="auto"/>
        <w:outlineLvl w:val="2"/>
      </w:pPr>
      <w:bookmarkStart w:id="19" w:name="heading_19"/>
      <w:r>
        <w:rPr>
          <w:rFonts w:ascii="Arial" w:eastAsia="DengXian" w:hAnsi="Arial" w:cs="Arial"/>
          <w:b/>
          <w:sz w:val="30"/>
        </w:rPr>
        <w:t xml:space="preserve">2.5 </w:t>
      </w:r>
      <w:r>
        <w:rPr>
          <w:rFonts w:ascii="Arial" w:eastAsia="DengXian" w:hAnsi="Arial" w:cs="Arial"/>
          <w:b/>
          <w:sz w:val="30"/>
        </w:rPr>
        <w:t>实验四：消融实验（</w:t>
      </w:r>
      <w:r>
        <w:rPr>
          <w:rFonts w:ascii="Arial" w:eastAsia="DengXian" w:hAnsi="Arial" w:cs="Arial"/>
          <w:b/>
          <w:sz w:val="30"/>
        </w:rPr>
        <w:t>Ablation Study</w:t>
      </w:r>
      <w:r>
        <w:rPr>
          <w:rFonts w:ascii="Arial" w:eastAsia="DengXian" w:hAnsi="Arial" w:cs="Arial"/>
          <w:b/>
          <w:sz w:val="30"/>
        </w:rPr>
        <w:t>）</w:t>
      </w:r>
      <w:bookmarkEnd w:id="19"/>
    </w:p>
    <w:p w14:paraId="55C93A53" w14:textId="77777777" w:rsidR="00EF5C24" w:rsidRDefault="002E58C1">
      <w:pPr>
        <w:spacing w:before="120" w:after="120" w:line="288" w:lineRule="auto"/>
      </w:pPr>
      <w:r>
        <w:rPr>
          <w:rFonts w:ascii="Arial" w:eastAsia="DengXian" w:hAnsi="Arial" w:cs="Arial"/>
          <w:b/>
        </w:rPr>
        <w:t>实验目的</w:t>
      </w:r>
      <w:r>
        <w:rPr>
          <w:rFonts w:ascii="Arial" w:eastAsia="DengXian" w:hAnsi="Arial" w:cs="Arial"/>
        </w:rPr>
        <w:t>：量化模型中每个组件的独立贡献，证明设计的必要性。</w:t>
      </w:r>
    </w:p>
    <w:tbl>
      <w:tblPr>
        <w:tblW w:w="0" w:type="auto"/>
        <w:tblLayout w:type="fixed"/>
        <w:tblCellMar>
          <w:left w:w="10" w:type="dxa"/>
          <w:right w:w="10" w:type="dxa"/>
        </w:tblCellMar>
        <w:tblLook w:val="04A0" w:firstRow="1" w:lastRow="0" w:firstColumn="1" w:lastColumn="0" w:noHBand="0" w:noVBand="1"/>
      </w:tblPr>
      <w:tblGrid>
        <w:gridCol w:w="2070"/>
        <w:gridCol w:w="2070"/>
        <w:gridCol w:w="2070"/>
        <w:gridCol w:w="2070"/>
      </w:tblGrid>
      <w:tr w:rsidR="00231CA2" w14:paraId="2DF4FD5D" w14:textId="77777777">
        <w:tblPrEx>
          <w:tblCellMar>
            <w:top w:w="0" w:type="dxa"/>
            <w:bottom w:w="0" w:type="dxa"/>
          </w:tblCellMar>
        </w:tblPrEx>
        <w:tc>
          <w:tcPr>
            <w:tcW w:w="2070" w:type="dxa"/>
            <w:tcMar>
              <w:top w:w="60" w:type="dxa"/>
              <w:left w:w="120" w:type="dxa"/>
              <w:bottom w:w="30" w:type="dxa"/>
              <w:right w:w="120" w:type="dxa"/>
            </w:tcMar>
          </w:tcPr>
          <w:p w14:paraId="23CF5DA4" w14:textId="77777777" w:rsidR="00EF5C24" w:rsidRDefault="002E58C1">
            <w:pPr>
              <w:spacing w:before="120" w:after="120" w:line="288" w:lineRule="auto"/>
            </w:pPr>
            <w:r>
              <w:rPr>
                <w:rFonts w:ascii="Arial" w:eastAsia="DengXian" w:hAnsi="Arial" w:cs="Arial"/>
              </w:rPr>
              <w:t>消融组别</w:t>
            </w:r>
          </w:p>
        </w:tc>
        <w:tc>
          <w:tcPr>
            <w:tcW w:w="2070" w:type="dxa"/>
            <w:tcMar>
              <w:top w:w="60" w:type="dxa"/>
              <w:left w:w="120" w:type="dxa"/>
              <w:bottom w:w="30" w:type="dxa"/>
              <w:right w:w="120" w:type="dxa"/>
            </w:tcMar>
          </w:tcPr>
          <w:p w14:paraId="65482E19" w14:textId="77777777" w:rsidR="00EF5C24" w:rsidRDefault="002E58C1">
            <w:pPr>
              <w:spacing w:before="120" w:after="120" w:line="288" w:lineRule="auto"/>
            </w:pPr>
            <w:r>
              <w:rPr>
                <w:rFonts w:ascii="Arial" w:eastAsia="DengXian" w:hAnsi="Arial" w:cs="Arial"/>
              </w:rPr>
              <w:t>模型配置</w:t>
            </w:r>
          </w:p>
        </w:tc>
        <w:tc>
          <w:tcPr>
            <w:tcW w:w="2070" w:type="dxa"/>
            <w:tcMar>
              <w:top w:w="60" w:type="dxa"/>
              <w:left w:w="120" w:type="dxa"/>
              <w:bottom w:w="30" w:type="dxa"/>
              <w:right w:w="120" w:type="dxa"/>
            </w:tcMar>
          </w:tcPr>
          <w:p w14:paraId="1D1D66E7" w14:textId="77777777" w:rsidR="00EF5C24" w:rsidRDefault="002E58C1">
            <w:pPr>
              <w:spacing w:before="120" w:after="120" w:line="288" w:lineRule="auto"/>
            </w:pPr>
            <w:r>
              <w:rPr>
                <w:rFonts w:ascii="Arial" w:eastAsia="DengXian" w:hAnsi="Arial" w:cs="Arial"/>
              </w:rPr>
              <w:t>对比对象</w:t>
            </w:r>
          </w:p>
        </w:tc>
        <w:tc>
          <w:tcPr>
            <w:tcW w:w="2070" w:type="dxa"/>
            <w:tcMar>
              <w:top w:w="60" w:type="dxa"/>
              <w:left w:w="120" w:type="dxa"/>
              <w:bottom w:w="30" w:type="dxa"/>
              <w:right w:w="120" w:type="dxa"/>
            </w:tcMar>
          </w:tcPr>
          <w:p w14:paraId="0C015C07" w14:textId="77777777" w:rsidR="00EF5C24" w:rsidRDefault="002E58C1">
            <w:pPr>
              <w:spacing w:before="120" w:after="120" w:line="288" w:lineRule="auto"/>
            </w:pPr>
            <w:r>
              <w:rPr>
                <w:rFonts w:ascii="Arial" w:eastAsia="DengXian" w:hAnsi="Arial" w:cs="Arial"/>
              </w:rPr>
              <w:t>验证结论</w:t>
            </w:r>
          </w:p>
        </w:tc>
      </w:tr>
      <w:tr w:rsidR="00231CA2" w14:paraId="2122009B" w14:textId="77777777">
        <w:tblPrEx>
          <w:tblCellMar>
            <w:top w:w="0" w:type="dxa"/>
            <w:bottom w:w="0" w:type="dxa"/>
          </w:tblCellMar>
        </w:tblPrEx>
        <w:tc>
          <w:tcPr>
            <w:tcW w:w="2070" w:type="dxa"/>
            <w:tcMar>
              <w:top w:w="60" w:type="dxa"/>
              <w:left w:w="120" w:type="dxa"/>
              <w:bottom w:w="30" w:type="dxa"/>
              <w:right w:w="120" w:type="dxa"/>
            </w:tcMar>
          </w:tcPr>
          <w:p w14:paraId="09506719" w14:textId="77777777" w:rsidR="00EF5C24" w:rsidRDefault="002E58C1">
            <w:pPr>
              <w:spacing w:before="120" w:after="120" w:line="288" w:lineRule="auto"/>
            </w:pPr>
            <w:r>
              <w:rPr>
                <w:rFonts w:ascii="Arial" w:eastAsia="DengXian" w:hAnsi="Arial" w:cs="Arial"/>
              </w:rPr>
              <w:t>消融</w:t>
            </w:r>
            <w:r>
              <w:rPr>
                <w:rFonts w:ascii="Arial" w:eastAsia="DengXian" w:hAnsi="Arial" w:cs="Arial"/>
              </w:rPr>
              <w:t>1</w:t>
            </w:r>
          </w:p>
        </w:tc>
        <w:tc>
          <w:tcPr>
            <w:tcW w:w="2070" w:type="dxa"/>
            <w:tcMar>
              <w:top w:w="60" w:type="dxa"/>
              <w:left w:w="120" w:type="dxa"/>
              <w:bottom w:w="30" w:type="dxa"/>
              <w:right w:w="120" w:type="dxa"/>
            </w:tcMar>
          </w:tcPr>
          <w:p w14:paraId="6C8FE772" w14:textId="77777777" w:rsidR="00EF5C24" w:rsidRDefault="002E58C1">
            <w:pPr>
              <w:spacing w:before="120" w:after="120" w:line="288" w:lineRule="auto"/>
            </w:pPr>
            <w:r>
              <w:rPr>
                <w:rFonts w:ascii="Arial" w:eastAsia="DengXian" w:hAnsi="Arial" w:cs="Arial"/>
              </w:rPr>
              <w:t>移除三角函数时间编码，仅用</w:t>
            </w:r>
            <w:r>
              <w:rPr>
                <w:rFonts w:ascii="Arial" w:eastAsia="DengXian" w:hAnsi="Arial" w:cs="Arial"/>
              </w:rPr>
              <w:t>t/T</w:t>
            </w:r>
          </w:p>
        </w:tc>
        <w:tc>
          <w:tcPr>
            <w:tcW w:w="2070" w:type="dxa"/>
            <w:tcMar>
              <w:top w:w="60" w:type="dxa"/>
              <w:left w:w="120" w:type="dxa"/>
              <w:bottom w:w="30" w:type="dxa"/>
              <w:right w:w="120" w:type="dxa"/>
            </w:tcMar>
          </w:tcPr>
          <w:p w14:paraId="67AEF78C" w14:textId="77777777" w:rsidR="00EF5C24" w:rsidRDefault="002E58C1">
            <w:pPr>
              <w:spacing w:before="120" w:after="120" w:line="288" w:lineRule="auto"/>
            </w:pPr>
            <w:r>
              <w:rPr>
                <w:rFonts w:ascii="Arial" w:eastAsia="DengXian" w:hAnsi="Arial" w:cs="Arial"/>
              </w:rPr>
              <w:t>完整</w:t>
            </w:r>
            <w:r>
              <w:rPr>
                <w:rFonts w:ascii="Arial" w:eastAsia="DengXian" w:hAnsi="Arial" w:cs="Arial"/>
              </w:rPr>
              <w:t>DRL-full</w:t>
            </w:r>
          </w:p>
        </w:tc>
        <w:tc>
          <w:tcPr>
            <w:tcW w:w="2070" w:type="dxa"/>
            <w:tcMar>
              <w:top w:w="60" w:type="dxa"/>
              <w:left w:w="120" w:type="dxa"/>
              <w:bottom w:w="30" w:type="dxa"/>
              <w:right w:w="120" w:type="dxa"/>
            </w:tcMar>
          </w:tcPr>
          <w:p w14:paraId="3E5BAEB8" w14:textId="77777777" w:rsidR="00EF5C24" w:rsidRDefault="002E58C1">
            <w:pPr>
              <w:spacing w:before="120" w:after="120" w:line="288" w:lineRule="auto"/>
            </w:pPr>
            <w:r>
              <w:rPr>
                <w:rFonts w:ascii="Arial" w:eastAsia="DengXian" w:hAnsi="Arial" w:cs="Arial"/>
              </w:rPr>
              <w:t>验证周期编码对季节性学习的增益</w:t>
            </w:r>
          </w:p>
        </w:tc>
      </w:tr>
      <w:tr w:rsidR="00231CA2" w14:paraId="6D3A059B" w14:textId="77777777">
        <w:tblPrEx>
          <w:tblCellMar>
            <w:top w:w="0" w:type="dxa"/>
            <w:bottom w:w="0" w:type="dxa"/>
          </w:tblCellMar>
        </w:tblPrEx>
        <w:tc>
          <w:tcPr>
            <w:tcW w:w="2070" w:type="dxa"/>
            <w:tcMar>
              <w:top w:w="60" w:type="dxa"/>
              <w:left w:w="120" w:type="dxa"/>
              <w:bottom w:w="30" w:type="dxa"/>
              <w:right w:w="120" w:type="dxa"/>
            </w:tcMar>
          </w:tcPr>
          <w:p w14:paraId="703BC626" w14:textId="77777777" w:rsidR="00EF5C24" w:rsidRDefault="002E58C1">
            <w:pPr>
              <w:spacing w:before="120" w:after="120" w:line="288" w:lineRule="auto"/>
            </w:pPr>
            <w:r>
              <w:rPr>
                <w:rFonts w:ascii="Arial" w:eastAsia="DengXian" w:hAnsi="Arial" w:cs="Arial"/>
              </w:rPr>
              <w:t>消融</w:t>
            </w:r>
            <w:r>
              <w:rPr>
                <w:rFonts w:ascii="Arial" w:eastAsia="DengXian" w:hAnsi="Arial" w:cs="Arial"/>
              </w:rPr>
              <w:t>2</w:t>
            </w:r>
          </w:p>
        </w:tc>
        <w:tc>
          <w:tcPr>
            <w:tcW w:w="2070" w:type="dxa"/>
            <w:tcMar>
              <w:top w:w="60" w:type="dxa"/>
              <w:left w:w="120" w:type="dxa"/>
              <w:bottom w:w="30" w:type="dxa"/>
              <w:right w:w="120" w:type="dxa"/>
            </w:tcMar>
          </w:tcPr>
          <w:p w14:paraId="402D960B" w14:textId="77777777" w:rsidR="00EF5C24" w:rsidRDefault="002E58C1">
            <w:pPr>
              <w:spacing w:before="120" w:after="120" w:line="288" w:lineRule="auto"/>
            </w:pPr>
            <w:r>
              <w:rPr>
                <w:rFonts w:ascii="Arial" w:eastAsia="DengXian" w:hAnsi="Arial" w:cs="Arial"/>
              </w:rPr>
              <w:t>应急渠道固定</w:t>
            </w:r>
            <w:r>
              <w:rPr>
                <w:rFonts w:ascii="Arial" w:eastAsia="DengXian" w:hAnsi="Arial" w:cs="Arial"/>
              </w:rPr>
              <w:t>NV</w:t>
            </w:r>
            <w:r>
              <w:rPr>
                <w:rFonts w:ascii="Arial" w:eastAsia="DengXian" w:hAnsi="Arial" w:cs="Arial"/>
              </w:rPr>
              <w:t>阈值，不做</w:t>
            </w:r>
            <w:r>
              <w:rPr>
                <w:rFonts w:ascii="Arial" w:eastAsia="DengXian" w:hAnsi="Arial" w:cs="Arial"/>
              </w:rPr>
              <w:t>DRL</w:t>
            </w:r>
            <w:r>
              <w:rPr>
                <w:rFonts w:ascii="Arial" w:eastAsia="DengXian" w:hAnsi="Arial" w:cs="Arial"/>
              </w:rPr>
              <w:t>调整</w:t>
            </w:r>
          </w:p>
        </w:tc>
        <w:tc>
          <w:tcPr>
            <w:tcW w:w="2070" w:type="dxa"/>
            <w:tcMar>
              <w:top w:w="60" w:type="dxa"/>
              <w:left w:w="120" w:type="dxa"/>
              <w:bottom w:w="30" w:type="dxa"/>
              <w:right w:w="120" w:type="dxa"/>
            </w:tcMar>
          </w:tcPr>
          <w:p w14:paraId="2FE1EF9A" w14:textId="77777777" w:rsidR="00EF5C24" w:rsidRDefault="002E58C1">
            <w:pPr>
              <w:spacing w:before="120" w:after="120" w:line="288" w:lineRule="auto"/>
            </w:pPr>
            <w:r>
              <w:rPr>
                <w:rFonts w:ascii="Arial" w:eastAsia="DengXian" w:hAnsi="Arial" w:cs="Arial"/>
              </w:rPr>
              <w:t>完整</w:t>
            </w:r>
            <w:r>
              <w:rPr>
                <w:rFonts w:ascii="Arial" w:eastAsia="DengXian" w:hAnsi="Arial" w:cs="Arial"/>
              </w:rPr>
              <w:t>DRL-full</w:t>
            </w:r>
          </w:p>
        </w:tc>
        <w:tc>
          <w:tcPr>
            <w:tcW w:w="2070" w:type="dxa"/>
            <w:tcMar>
              <w:top w:w="60" w:type="dxa"/>
              <w:left w:w="120" w:type="dxa"/>
              <w:bottom w:w="30" w:type="dxa"/>
              <w:right w:w="120" w:type="dxa"/>
            </w:tcMar>
          </w:tcPr>
          <w:p w14:paraId="09B1A4FD" w14:textId="77777777" w:rsidR="00EF5C24" w:rsidRDefault="002E58C1">
            <w:pPr>
              <w:spacing w:before="120" w:after="120" w:line="288" w:lineRule="auto"/>
            </w:pPr>
            <w:r>
              <w:rPr>
                <w:rFonts w:ascii="Arial" w:eastAsia="DengXian" w:hAnsi="Arial" w:cs="Arial"/>
              </w:rPr>
              <w:t>验证应急权重动态调整的价值</w:t>
            </w:r>
          </w:p>
        </w:tc>
      </w:tr>
      <w:tr w:rsidR="00231CA2" w14:paraId="2B3E5119" w14:textId="77777777">
        <w:tblPrEx>
          <w:tblCellMar>
            <w:top w:w="0" w:type="dxa"/>
            <w:bottom w:w="0" w:type="dxa"/>
          </w:tblCellMar>
        </w:tblPrEx>
        <w:tc>
          <w:tcPr>
            <w:tcW w:w="2070" w:type="dxa"/>
            <w:tcMar>
              <w:top w:w="60" w:type="dxa"/>
              <w:left w:w="120" w:type="dxa"/>
              <w:bottom w:w="30" w:type="dxa"/>
              <w:right w:w="120" w:type="dxa"/>
            </w:tcMar>
          </w:tcPr>
          <w:p w14:paraId="20A4DA42" w14:textId="77777777" w:rsidR="00EF5C24" w:rsidRDefault="002E58C1">
            <w:pPr>
              <w:spacing w:before="120" w:after="120" w:line="288" w:lineRule="auto"/>
            </w:pPr>
            <w:r>
              <w:rPr>
                <w:rFonts w:ascii="Arial" w:eastAsia="DengXian" w:hAnsi="Arial" w:cs="Arial"/>
              </w:rPr>
              <w:t>消融</w:t>
            </w:r>
            <w:r>
              <w:rPr>
                <w:rFonts w:ascii="Arial" w:eastAsia="DengXian" w:hAnsi="Arial" w:cs="Arial"/>
              </w:rPr>
              <w:t>3</w:t>
            </w:r>
          </w:p>
        </w:tc>
        <w:tc>
          <w:tcPr>
            <w:tcW w:w="2070" w:type="dxa"/>
            <w:tcMar>
              <w:top w:w="60" w:type="dxa"/>
              <w:left w:w="120" w:type="dxa"/>
              <w:bottom w:w="30" w:type="dxa"/>
              <w:right w:w="120" w:type="dxa"/>
            </w:tcMar>
          </w:tcPr>
          <w:p w14:paraId="6F55CC4C" w14:textId="77777777" w:rsidR="00EF5C24" w:rsidRDefault="002E58C1">
            <w:pPr>
              <w:spacing w:before="120" w:after="120" w:line="288" w:lineRule="auto"/>
            </w:pPr>
            <w:r>
              <w:rPr>
                <w:rFonts w:ascii="Arial" w:eastAsia="DengXian" w:hAnsi="Arial" w:cs="Arial"/>
              </w:rPr>
              <w:t>移除教师锚定，</w:t>
            </w:r>
            <w:r>
              <w:rPr>
                <w:rFonts w:ascii="Arial" w:eastAsia="DengXian" w:hAnsi="Arial" w:cs="Arial"/>
              </w:rPr>
              <w:t>DRL</w:t>
            </w:r>
            <w:r>
              <w:rPr>
                <w:rFonts w:ascii="Arial" w:eastAsia="DengXian" w:hAnsi="Arial" w:cs="Arial"/>
              </w:rPr>
              <w:t>直接输出订货量</w:t>
            </w:r>
          </w:p>
        </w:tc>
        <w:tc>
          <w:tcPr>
            <w:tcW w:w="2070" w:type="dxa"/>
            <w:tcMar>
              <w:top w:w="60" w:type="dxa"/>
              <w:left w:w="120" w:type="dxa"/>
              <w:bottom w:w="30" w:type="dxa"/>
              <w:right w:w="120" w:type="dxa"/>
            </w:tcMar>
          </w:tcPr>
          <w:p w14:paraId="498B73E6" w14:textId="77777777" w:rsidR="00EF5C24" w:rsidRDefault="002E58C1">
            <w:pPr>
              <w:spacing w:before="120" w:after="120" w:line="288" w:lineRule="auto"/>
            </w:pPr>
            <w:r>
              <w:rPr>
                <w:rFonts w:ascii="Arial" w:eastAsia="DengXian" w:hAnsi="Arial" w:cs="Arial"/>
              </w:rPr>
              <w:t>完整</w:t>
            </w:r>
            <w:r>
              <w:rPr>
                <w:rFonts w:ascii="Arial" w:eastAsia="DengXian" w:hAnsi="Arial" w:cs="Arial"/>
              </w:rPr>
              <w:t>DRL-full</w:t>
            </w:r>
          </w:p>
        </w:tc>
        <w:tc>
          <w:tcPr>
            <w:tcW w:w="2070" w:type="dxa"/>
            <w:tcMar>
              <w:top w:w="60" w:type="dxa"/>
              <w:left w:w="120" w:type="dxa"/>
              <w:bottom w:w="30" w:type="dxa"/>
              <w:right w:w="120" w:type="dxa"/>
            </w:tcMar>
          </w:tcPr>
          <w:p w14:paraId="05EA14CD" w14:textId="77777777" w:rsidR="00EF5C24" w:rsidRDefault="002E58C1">
            <w:pPr>
              <w:spacing w:before="120" w:after="120" w:line="288" w:lineRule="auto"/>
            </w:pPr>
            <w:r>
              <w:rPr>
                <w:rFonts w:ascii="Arial" w:eastAsia="DengXian" w:hAnsi="Arial" w:cs="Arial"/>
              </w:rPr>
              <w:t>验证启发式先验对训练稳定性与收敛性的提升</w:t>
            </w:r>
          </w:p>
        </w:tc>
      </w:tr>
      <w:tr w:rsidR="00231CA2" w14:paraId="4BA19EFC" w14:textId="77777777">
        <w:tblPrEx>
          <w:tblCellMar>
            <w:top w:w="0" w:type="dxa"/>
            <w:bottom w:w="0" w:type="dxa"/>
          </w:tblCellMar>
        </w:tblPrEx>
        <w:tc>
          <w:tcPr>
            <w:tcW w:w="2070" w:type="dxa"/>
            <w:tcMar>
              <w:top w:w="60" w:type="dxa"/>
              <w:left w:w="120" w:type="dxa"/>
              <w:bottom w:w="30" w:type="dxa"/>
              <w:right w:w="120" w:type="dxa"/>
            </w:tcMar>
          </w:tcPr>
          <w:p w14:paraId="4DCB6A6C" w14:textId="77777777" w:rsidR="00EF5C24" w:rsidRDefault="002E58C1">
            <w:pPr>
              <w:spacing w:before="120" w:after="120" w:line="288" w:lineRule="auto"/>
            </w:pPr>
            <w:r>
              <w:rPr>
                <w:rFonts w:ascii="Arial" w:eastAsia="DengXian" w:hAnsi="Arial" w:cs="Arial"/>
              </w:rPr>
              <w:t>消融</w:t>
            </w:r>
            <w:r>
              <w:rPr>
                <w:rFonts w:ascii="Arial" w:eastAsia="DengXian" w:hAnsi="Arial" w:cs="Arial"/>
              </w:rPr>
              <w:t>4</w:t>
            </w:r>
          </w:p>
        </w:tc>
        <w:tc>
          <w:tcPr>
            <w:tcW w:w="2070" w:type="dxa"/>
            <w:tcMar>
              <w:top w:w="60" w:type="dxa"/>
              <w:left w:w="120" w:type="dxa"/>
              <w:bottom w:w="30" w:type="dxa"/>
              <w:right w:w="120" w:type="dxa"/>
            </w:tcMar>
          </w:tcPr>
          <w:p w14:paraId="0FBE93D8" w14:textId="77777777" w:rsidR="00EF5C24" w:rsidRDefault="002E58C1">
            <w:pPr>
              <w:spacing w:before="120" w:after="120" w:line="288" w:lineRule="auto"/>
            </w:pPr>
            <w:r>
              <w:rPr>
                <w:rFonts w:ascii="Arial" w:eastAsia="DengXian" w:hAnsi="Arial" w:cs="Arial"/>
              </w:rPr>
              <w:t>双</w:t>
            </w:r>
            <w:r>
              <w:rPr>
                <w:rFonts w:ascii="Arial" w:eastAsia="DengXian" w:hAnsi="Arial" w:cs="Arial"/>
              </w:rPr>
              <w:t>Agent</w:t>
            </w:r>
            <w:r>
              <w:rPr>
                <w:rFonts w:ascii="Arial" w:eastAsia="DengXian" w:hAnsi="Arial" w:cs="Arial"/>
              </w:rPr>
              <w:t>分别训练两个渠道</w:t>
            </w:r>
          </w:p>
        </w:tc>
        <w:tc>
          <w:tcPr>
            <w:tcW w:w="2070" w:type="dxa"/>
            <w:tcMar>
              <w:top w:w="60" w:type="dxa"/>
              <w:left w:w="120" w:type="dxa"/>
              <w:bottom w:w="30" w:type="dxa"/>
              <w:right w:w="120" w:type="dxa"/>
            </w:tcMar>
          </w:tcPr>
          <w:p w14:paraId="1D3A88D5" w14:textId="77777777" w:rsidR="00EF5C24" w:rsidRDefault="002E58C1">
            <w:pPr>
              <w:spacing w:before="120" w:after="120" w:line="288" w:lineRule="auto"/>
            </w:pPr>
            <w:r>
              <w:rPr>
                <w:rFonts w:ascii="Arial" w:eastAsia="DengXian" w:hAnsi="Arial" w:cs="Arial"/>
              </w:rPr>
              <w:t>单</w:t>
            </w:r>
            <w:r>
              <w:rPr>
                <w:rFonts w:ascii="Arial" w:eastAsia="DengXian" w:hAnsi="Arial" w:cs="Arial"/>
              </w:rPr>
              <w:t>Agent</w:t>
            </w:r>
            <w:r>
              <w:rPr>
                <w:rFonts w:ascii="Arial" w:eastAsia="DengXian" w:hAnsi="Arial" w:cs="Arial"/>
              </w:rPr>
              <w:t>双输出</w:t>
            </w:r>
          </w:p>
        </w:tc>
        <w:tc>
          <w:tcPr>
            <w:tcW w:w="2070" w:type="dxa"/>
            <w:tcMar>
              <w:top w:w="60" w:type="dxa"/>
              <w:left w:w="120" w:type="dxa"/>
              <w:bottom w:w="30" w:type="dxa"/>
              <w:right w:w="120" w:type="dxa"/>
            </w:tcMar>
          </w:tcPr>
          <w:p w14:paraId="69A0122B" w14:textId="77777777" w:rsidR="00EF5C24" w:rsidRDefault="002E58C1">
            <w:pPr>
              <w:spacing w:before="120" w:after="120" w:line="288" w:lineRule="auto"/>
            </w:pPr>
            <w:r>
              <w:rPr>
                <w:rFonts w:ascii="Arial" w:eastAsia="DengXian" w:hAnsi="Arial" w:cs="Arial"/>
              </w:rPr>
              <w:t>验证单</w:t>
            </w:r>
            <w:r>
              <w:rPr>
                <w:rFonts w:ascii="Arial" w:eastAsia="DengXian" w:hAnsi="Arial" w:cs="Arial"/>
              </w:rPr>
              <w:t>Agent</w:t>
            </w:r>
            <w:r>
              <w:rPr>
                <w:rFonts w:ascii="Arial" w:eastAsia="DengXian" w:hAnsi="Arial" w:cs="Arial"/>
              </w:rPr>
              <w:t>共享特征的协同优势</w:t>
            </w:r>
          </w:p>
        </w:tc>
      </w:tr>
    </w:tbl>
    <w:p w14:paraId="59771350" w14:textId="77777777" w:rsidR="00EF5C24" w:rsidRDefault="00EF5C24">
      <w:pPr>
        <w:pBdr>
          <w:bottom w:val="single" w:sz="0" w:space="0" w:color="DEE0E3"/>
          <w:between w:val="single" w:sz="0" w:space="0" w:color="DEE0E3"/>
        </w:pBdr>
        <w:spacing w:before="120" w:after="120" w:line="288" w:lineRule="auto"/>
      </w:pPr>
    </w:p>
    <w:p w14:paraId="482CC47F" w14:textId="77777777" w:rsidR="00EF5C24" w:rsidRDefault="002E58C1">
      <w:pPr>
        <w:spacing w:before="300" w:after="120" w:line="288" w:lineRule="auto"/>
        <w:outlineLvl w:val="2"/>
      </w:pPr>
      <w:bookmarkStart w:id="20" w:name="heading_20"/>
      <w:r>
        <w:rPr>
          <w:rFonts w:ascii="Arial" w:eastAsia="DengXian" w:hAnsi="Arial" w:cs="Arial"/>
          <w:b/>
          <w:sz w:val="30"/>
        </w:rPr>
        <w:t xml:space="preserve">2.6 </w:t>
      </w:r>
      <w:r>
        <w:rPr>
          <w:rFonts w:ascii="Arial" w:eastAsia="DengXian" w:hAnsi="Arial" w:cs="Arial"/>
          <w:b/>
          <w:sz w:val="30"/>
        </w:rPr>
        <w:t>实验五：参数鲁棒性分析</w:t>
      </w:r>
      <w:bookmarkEnd w:id="20"/>
    </w:p>
    <w:p w14:paraId="787B0D35" w14:textId="77777777" w:rsidR="00EF5C24" w:rsidRDefault="002E58C1">
      <w:pPr>
        <w:spacing w:before="120" w:after="120" w:line="288" w:lineRule="auto"/>
      </w:pPr>
      <w:r>
        <w:rPr>
          <w:rFonts w:ascii="Arial" w:eastAsia="DengXian" w:hAnsi="Arial" w:cs="Arial"/>
          <w:b/>
        </w:rPr>
        <w:t>实验目的</w:t>
      </w:r>
      <w:r>
        <w:rPr>
          <w:rFonts w:ascii="Arial" w:eastAsia="DengXian" w:hAnsi="Arial" w:cs="Arial"/>
        </w:rPr>
        <w:t>：验证扩展</w:t>
      </w:r>
      <w:r>
        <w:rPr>
          <w:rFonts w:ascii="Arial" w:eastAsia="DengXian" w:hAnsi="Arial" w:cs="Arial"/>
        </w:rPr>
        <w:t>DRL</w:t>
      </w:r>
      <w:r>
        <w:rPr>
          <w:rFonts w:ascii="Arial" w:eastAsia="DengXian" w:hAnsi="Arial" w:cs="Arial"/>
        </w:rPr>
        <w:t>在不同参数组合下的性能稳定性，而非仅在特定参数下有效。</w:t>
      </w:r>
    </w:p>
    <w:p w14:paraId="23B698A0" w14:textId="77777777" w:rsidR="00EF5C24" w:rsidRDefault="002E58C1">
      <w:pPr>
        <w:spacing w:before="120" w:after="120" w:line="288" w:lineRule="auto"/>
      </w:pPr>
      <w:r>
        <w:rPr>
          <w:rFonts w:ascii="Arial" w:eastAsia="DengXian" w:hAnsi="Arial" w:cs="Arial"/>
          <w:b/>
        </w:rPr>
        <w:t>测试参数矩阵</w:t>
      </w:r>
      <w:r>
        <w:rPr>
          <w:rFonts w:ascii="Arial" w:eastAsia="DengXian" w:hAnsi="Arial" w:cs="Arial"/>
        </w:rPr>
        <w:t>（与代码实验组完全对应）：</w:t>
      </w:r>
    </w:p>
    <w:p w14:paraId="2F09FB08" w14:textId="77777777" w:rsidR="00EF5C24" w:rsidRDefault="002E58C1">
      <w:pPr>
        <w:numPr>
          <w:ilvl w:val="0"/>
          <w:numId w:val="34"/>
        </w:numPr>
        <w:spacing w:before="120" w:after="120" w:line="288" w:lineRule="auto"/>
      </w:pPr>
      <w:r>
        <w:rPr>
          <w:rFonts w:ascii="Arial" w:eastAsia="DengXian" w:hAnsi="Arial" w:cs="Arial"/>
        </w:rPr>
        <w:t>良率：</w:t>
      </w:r>
      <m:oMath>
        <m:r>
          <w:rPr>
            <w:rFonts w:ascii="Cambria Math" w:hAnsi="Cambria Math"/>
          </w:rPr>
          <m:t>p∈{0.7,0.9}</m:t>
        </m:r>
      </m:oMath>
    </w:p>
    <w:p w14:paraId="2CF031A2" w14:textId="77777777" w:rsidR="00EF5C24" w:rsidRDefault="002E58C1">
      <w:pPr>
        <w:numPr>
          <w:ilvl w:val="0"/>
          <w:numId w:val="35"/>
        </w:numPr>
        <w:spacing w:before="120" w:after="120" w:line="288" w:lineRule="auto"/>
      </w:pPr>
      <w:r>
        <w:rPr>
          <w:rFonts w:ascii="Arial" w:eastAsia="DengXian" w:hAnsi="Arial" w:cs="Arial"/>
        </w:rPr>
        <w:t>服务水平：</w:t>
      </w:r>
      <m:oMath>
        <m:r>
          <w:rPr>
            <w:rFonts w:ascii="Cambria Math" w:hAnsi="Cambria Math"/>
          </w:rPr>
          <m:t>bbh∈{0.85,0.95}</m:t>
        </m:r>
      </m:oMath>
    </w:p>
    <w:p w14:paraId="15ACD185" w14:textId="77777777" w:rsidR="00EF5C24" w:rsidRDefault="002E58C1">
      <w:pPr>
        <w:numPr>
          <w:ilvl w:val="0"/>
          <w:numId w:val="36"/>
        </w:numPr>
        <w:spacing w:before="120" w:after="120" w:line="288" w:lineRule="auto"/>
      </w:pPr>
      <w:r>
        <w:rPr>
          <w:rFonts w:ascii="Arial" w:eastAsia="DengXian" w:hAnsi="Arial" w:cs="Arial"/>
        </w:rPr>
        <w:t>规划期：</w:t>
      </w:r>
      <m:oMath>
        <m:r>
          <w:rPr>
            <w:rFonts w:ascii="Cambria Math" w:hAnsi="Cambria Math"/>
          </w:rPr>
          <m:t>T∈{50,100}</m:t>
        </m:r>
      </m:oMath>
    </w:p>
    <w:p w14:paraId="21EEA19A" w14:textId="77777777" w:rsidR="00EF5C24" w:rsidRDefault="002E58C1">
      <w:pPr>
        <w:numPr>
          <w:ilvl w:val="0"/>
          <w:numId w:val="37"/>
        </w:numPr>
        <w:spacing w:before="120" w:after="120" w:line="288" w:lineRule="auto"/>
      </w:pPr>
      <w:r>
        <w:rPr>
          <w:rFonts w:ascii="Arial" w:eastAsia="DengXian" w:hAnsi="Arial" w:cs="Arial"/>
        </w:rPr>
        <w:t>季节振幅：</w:t>
      </w:r>
      <m:oMath>
        <m:r>
          <w:rPr>
            <w:rFonts w:ascii="Cambria Math" w:hAnsi="Cambria Math"/>
          </w:rPr>
          <m:t>A∈{0,3,6}</m:t>
        </m:r>
      </m:oMath>
    </w:p>
    <w:p w14:paraId="5ABA52F5" w14:textId="77777777" w:rsidR="00EF5C24" w:rsidRDefault="002E58C1">
      <w:pPr>
        <w:numPr>
          <w:ilvl w:val="0"/>
          <w:numId w:val="38"/>
        </w:numPr>
        <w:spacing w:before="120" w:after="120" w:line="288" w:lineRule="auto"/>
      </w:pPr>
      <w:r>
        <w:rPr>
          <w:rFonts w:ascii="Arial" w:eastAsia="DengXian" w:hAnsi="Arial" w:cs="Arial"/>
        </w:rPr>
        <w:t>应急成本：</w:t>
      </w: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∈{3,5}</m:t>
        </m:r>
      </m:oMath>
    </w:p>
    <w:p w14:paraId="390D5BD1" w14:textId="77777777" w:rsidR="00EF5C24" w:rsidRDefault="002E58C1">
      <w:pPr>
        <w:spacing w:before="120" w:after="120" w:line="288" w:lineRule="auto"/>
      </w:pPr>
      <w:r>
        <w:rPr>
          <w:rFonts w:ascii="Arial" w:eastAsia="DengXian" w:hAnsi="Arial" w:cs="Arial"/>
        </w:rPr>
        <w:t>共</w:t>
      </w:r>
      <w:r>
        <w:rPr>
          <w:rFonts w:ascii="Arial" w:eastAsia="DengXian" w:hAnsi="Arial" w:cs="Arial"/>
        </w:rPr>
        <w:t xml:space="preserve"> </w:t>
      </w:r>
      <m:oMath>
        <m:r>
          <w:rPr>
            <w:rFonts w:ascii="Cambria Math" w:hAnsi="Cambria Math"/>
          </w:rPr>
          <m:t>2×2×2×3×2=48</m:t>
        </m:r>
      </m:oMath>
      <w:r>
        <w:rPr>
          <w:rFonts w:ascii="Arial" w:eastAsia="DengXian" w:hAnsi="Arial" w:cs="Arial"/>
        </w:rPr>
        <w:t xml:space="preserve"> </w:t>
      </w:r>
      <w:r>
        <w:rPr>
          <w:rFonts w:ascii="Arial" w:eastAsia="DengXian" w:hAnsi="Arial" w:cs="Arial"/>
        </w:rPr>
        <w:t>组参数组合，每组均测试所有基线策略与</w:t>
      </w:r>
      <w:r>
        <w:rPr>
          <w:rFonts w:ascii="Arial" w:eastAsia="DengXian" w:hAnsi="Arial" w:cs="Arial"/>
        </w:rPr>
        <w:t>DRL</w:t>
      </w:r>
      <w:r>
        <w:rPr>
          <w:rFonts w:ascii="Arial" w:eastAsia="DengXian" w:hAnsi="Arial" w:cs="Arial"/>
        </w:rPr>
        <w:t>策略。</w:t>
      </w:r>
    </w:p>
    <w:p w14:paraId="50884075" w14:textId="77777777" w:rsidR="00EF5C24" w:rsidRDefault="002E58C1">
      <w:pPr>
        <w:spacing w:before="120" w:after="120" w:line="288" w:lineRule="auto"/>
      </w:pPr>
      <w:r>
        <w:rPr>
          <w:rFonts w:ascii="Arial" w:eastAsia="DengXian" w:hAnsi="Arial" w:cs="Arial"/>
          <w:b/>
        </w:rPr>
        <w:t>评估标准</w:t>
      </w:r>
      <w:r>
        <w:rPr>
          <w:rFonts w:ascii="Arial" w:eastAsia="DengXian" w:hAnsi="Arial" w:cs="Arial"/>
        </w:rPr>
        <w:t>：</w:t>
      </w:r>
    </w:p>
    <w:p w14:paraId="161DB90D" w14:textId="77777777" w:rsidR="00EF5C24" w:rsidRDefault="002E58C1">
      <w:pPr>
        <w:numPr>
          <w:ilvl w:val="0"/>
          <w:numId w:val="39"/>
        </w:numPr>
        <w:spacing w:before="120" w:after="120" w:line="288" w:lineRule="auto"/>
      </w:pPr>
      <w:r>
        <w:rPr>
          <w:rFonts w:ascii="Arial" w:eastAsia="DengXian" w:hAnsi="Arial" w:cs="Arial"/>
        </w:rPr>
        <w:lastRenderedPageBreak/>
        <w:t>DRL</w:t>
      </w:r>
      <w:r>
        <w:rPr>
          <w:rFonts w:ascii="Arial" w:eastAsia="DengXian" w:hAnsi="Arial" w:cs="Arial"/>
        </w:rPr>
        <w:t>策略在所有参数组合下均优于启发式基准的比例；</w:t>
      </w:r>
    </w:p>
    <w:p w14:paraId="0D50D475" w14:textId="77777777" w:rsidR="00EF5C24" w:rsidRDefault="002E58C1">
      <w:pPr>
        <w:numPr>
          <w:ilvl w:val="0"/>
          <w:numId w:val="40"/>
        </w:numPr>
        <w:spacing w:before="120" w:after="120" w:line="288" w:lineRule="auto"/>
      </w:pPr>
      <w:r>
        <w:rPr>
          <w:rFonts w:ascii="Arial" w:eastAsia="DengXian" w:hAnsi="Arial" w:cs="Arial"/>
        </w:rPr>
        <w:t>DRL</w:t>
      </w:r>
      <w:r>
        <w:rPr>
          <w:rFonts w:ascii="Arial" w:eastAsia="DengXian" w:hAnsi="Arial" w:cs="Arial"/>
        </w:rPr>
        <w:t>相对增益的均值与方差，判断优势是否稳定；</w:t>
      </w:r>
    </w:p>
    <w:p w14:paraId="70F350D6" w14:textId="77777777" w:rsidR="00EF5C24" w:rsidRDefault="002E58C1">
      <w:pPr>
        <w:numPr>
          <w:ilvl w:val="0"/>
          <w:numId w:val="41"/>
        </w:numPr>
        <w:spacing w:before="120" w:after="120" w:line="288" w:lineRule="auto"/>
      </w:pPr>
      <w:r>
        <w:rPr>
          <w:rFonts w:ascii="Arial" w:eastAsia="DengXian" w:hAnsi="Arial" w:cs="Arial"/>
        </w:rPr>
        <w:t>识别</w:t>
      </w:r>
      <w:r>
        <w:rPr>
          <w:rFonts w:ascii="Arial" w:eastAsia="DengXian" w:hAnsi="Arial" w:cs="Arial"/>
        </w:rPr>
        <w:t>DRL</w:t>
      </w:r>
      <w:r>
        <w:rPr>
          <w:rFonts w:ascii="Arial" w:eastAsia="DengXian" w:hAnsi="Arial" w:cs="Arial"/>
        </w:rPr>
        <w:t>优势最大与最小的场景，给出管理学解释。</w:t>
      </w:r>
    </w:p>
    <w:p w14:paraId="417114C2" w14:textId="77777777" w:rsidR="00EF5C24" w:rsidRDefault="00EF5C24">
      <w:pPr>
        <w:pBdr>
          <w:bottom w:val="single" w:sz="0" w:space="0" w:color="DEE0E3"/>
          <w:between w:val="single" w:sz="0" w:space="0" w:color="DEE0E3"/>
        </w:pBdr>
        <w:spacing w:before="120" w:after="120" w:line="288" w:lineRule="auto"/>
      </w:pPr>
    </w:p>
    <w:p w14:paraId="2A36296D" w14:textId="77777777" w:rsidR="00EF5C24" w:rsidRDefault="002E58C1">
      <w:pPr>
        <w:spacing w:before="300" w:after="120" w:line="288" w:lineRule="auto"/>
        <w:outlineLvl w:val="2"/>
      </w:pPr>
      <w:bookmarkStart w:id="21" w:name="heading_21"/>
      <w:r>
        <w:rPr>
          <w:rFonts w:ascii="Arial" w:eastAsia="DengXian" w:hAnsi="Arial" w:cs="Arial"/>
          <w:b/>
          <w:sz w:val="30"/>
        </w:rPr>
        <w:t xml:space="preserve">2.7 </w:t>
      </w:r>
      <w:r>
        <w:rPr>
          <w:rFonts w:ascii="Arial" w:eastAsia="DengXian" w:hAnsi="Arial" w:cs="Arial"/>
          <w:b/>
          <w:sz w:val="30"/>
        </w:rPr>
        <w:t>实验实施的公平性保障</w:t>
      </w:r>
      <w:bookmarkEnd w:id="21"/>
    </w:p>
    <w:p w14:paraId="7ADFF0FE" w14:textId="77777777" w:rsidR="00EF5C24" w:rsidRDefault="002E58C1">
      <w:pPr>
        <w:numPr>
          <w:ilvl w:val="0"/>
          <w:numId w:val="42"/>
        </w:numPr>
        <w:spacing w:before="120" w:after="120" w:line="288" w:lineRule="auto"/>
      </w:pPr>
      <w:r>
        <w:rPr>
          <w:rFonts w:ascii="Arial" w:eastAsia="DengXian" w:hAnsi="Arial" w:cs="Arial"/>
          <w:b/>
        </w:rPr>
        <w:t>同种子对比</w:t>
      </w:r>
      <w:r>
        <w:rPr>
          <w:rFonts w:ascii="Arial" w:eastAsia="DengXian" w:hAnsi="Arial" w:cs="Arial"/>
        </w:rPr>
        <w:t>：所有策略使用完全相同的需求种子与良率种子，确保在同一组随机场景下测试，消除抽样偏差；</w:t>
      </w:r>
    </w:p>
    <w:p w14:paraId="7C2D3B87" w14:textId="77777777" w:rsidR="00EF5C24" w:rsidRDefault="002E58C1">
      <w:pPr>
        <w:numPr>
          <w:ilvl w:val="0"/>
          <w:numId w:val="43"/>
        </w:numPr>
        <w:spacing w:before="120" w:after="120" w:line="288" w:lineRule="auto"/>
      </w:pPr>
      <w:r>
        <w:rPr>
          <w:rFonts w:ascii="Arial" w:eastAsia="DengXian" w:hAnsi="Arial" w:cs="Arial"/>
          <w:b/>
        </w:rPr>
        <w:t>统一仿真环境</w:t>
      </w:r>
      <w:r>
        <w:rPr>
          <w:rFonts w:ascii="Arial" w:eastAsia="DengXian" w:hAnsi="Arial" w:cs="Arial"/>
        </w:rPr>
        <w:t>：所有策略共享同一套环境动力学代码，仅决策函数不同，避免环境实现差异影响结果；</w:t>
      </w:r>
    </w:p>
    <w:p w14:paraId="6E51A29A" w14:textId="77777777" w:rsidR="00EF5C24" w:rsidRDefault="002E58C1">
      <w:pPr>
        <w:numPr>
          <w:ilvl w:val="0"/>
          <w:numId w:val="44"/>
        </w:numPr>
        <w:spacing w:before="120" w:after="120" w:line="288" w:lineRule="auto"/>
      </w:pPr>
      <w:r>
        <w:rPr>
          <w:rFonts w:ascii="Arial" w:eastAsia="DengXian" w:hAnsi="Arial" w:cs="Arial"/>
          <w:b/>
        </w:rPr>
        <w:t>充足样本量</w:t>
      </w:r>
      <w:r>
        <w:rPr>
          <w:rFonts w:ascii="Arial" w:eastAsia="DengXian" w:hAnsi="Arial" w:cs="Arial"/>
        </w:rPr>
        <w:t>：每组参数测试</w:t>
      </w:r>
      <w:r>
        <w:rPr>
          <w:rFonts w:ascii="Arial" w:eastAsia="DengXian" w:hAnsi="Arial" w:cs="Arial"/>
        </w:rPr>
        <w:t>N=100</w:t>
      </w:r>
      <w:r>
        <w:rPr>
          <w:rFonts w:ascii="Arial" w:eastAsia="DengXian" w:hAnsi="Arial" w:cs="Arial"/>
        </w:rPr>
        <w:t>个独立样本，保证统计显著性；</w:t>
      </w:r>
    </w:p>
    <w:p w14:paraId="4CD7D1D3" w14:textId="77777777" w:rsidR="00EF5C24" w:rsidRDefault="002E58C1">
      <w:pPr>
        <w:numPr>
          <w:ilvl w:val="0"/>
          <w:numId w:val="45"/>
        </w:numPr>
        <w:spacing w:before="120" w:after="120" w:line="288" w:lineRule="auto"/>
      </w:pPr>
      <w:r>
        <w:rPr>
          <w:rFonts w:ascii="Arial" w:eastAsia="DengXian" w:hAnsi="Arial" w:cs="Arial"/>
          <w:b/>
        </w:rPr>
        <w:t>训练公平性</w:t>
      </w:r>
      <w:r>
        <w:rPr>
          <w:rFonts w:ascii="Arial" w:eastAsia="DengXian" w:hAnsi="Arial" w:cs="Arial"/>
        </w:rPr>
        <w:t>：所有</w:t>
      </w:r>
      <w:r>
        <w:rPr>
          <w:rFonts w:ascii="Arial" w:eastAsia="DengXian" w:hAnsi="Arial" w:cs="Arial"/>
        </w:rPr>
        <w:t>DRL</w:t>
      </w:r>
      <w:r>
        <w:rPr>
          <w:rFonts w:ascii="Arial" w:eastAsia="DengXian" w:hAnsi="Arial" w:cs="Arial"/>
        </w:rPr>
        <w:t>变体使用相同的网络结构、学习率与训练轮数，仅输入输出维度不同。</w:t>
      </w:r>
    </w:p>
    <w:p w14:paraId="0E996A71" w14:textId="0354DB6C" w:rsidR="00EF5C24" w:rsidRDefault="00EF5C24">
      <w:pPr>
        <w:spacing w:before="120" w:after="120" w:line="288" w:lineRule="auto"/>
        <w:rPr>
          <w:rFonts w:ascii="Arial" w:eastAsia="DengXian" w:hAnsi="Arial" w:cs="Arial"/>
        </w:rPr>
      </w:pPr>
    </w:p>
    <w:p w14:paraId="66E00086" w14:textId="77777777" w:rsidR="006578AF" w:rsidRDefault="006578AF">
      <w:pPr>
        <w:spacing w:before="120" w:after="120" w:line="288" w:lineRule="auto"/>
        <w:rPr>
          <w:rFonts w:ascii="Arial" w:eastAsia="DengXian" w:hAnsi="Arial" w:cs="Arial"/>
        </w:rPr>
      </w:pPr>
    </w:p>
    <w:p w14:paraId="7F8A7324" w14:textId="77777777" w:rsidR="006578AF" w:rsidRDefault="006578AF">
      <w:pPr>
        <w:spacing w:before="120" w:after="120" w:line="288" w:lineRule="auto"/>
        <w:rPr>
          <w:rFonts w:ascii="Arial" w:eastAsia="DengXian" w:hAnsi="Arial" w:cs="Arial"/>
        </w:rPr>
      </w:pPr>
    </w:p>
    <w:p w14:paraId="5137B0BC" w14:textId="77777777" w:rsidR="006578AF" w:rsidRDefault="006578AF">
      <w:pPr>
        <w:spacing w:before="120" w:after="120" w:line="288" w:lineRule="auto"/>
        <w:rPr>
          <w:rFonts w:ascii="Arial" w:eastAsia="DengXian" w:hAnsi="Arial" w:cs="Arial"/>
        </w:rPr>
      </w:pPr>
    </w:p>
    <w:p w14:paraId="405B7BD6" w14:textId="77777777" w:rsidR="006578AF" w:rsidRDefault="006578AF">
      <w:pPr>
        <w:spacing w:before="120" w:after="120" w:line="288" w:lineRule="auto"/>
        <w:rPr>
          <w:rFonts w:ascii="Arial" w:eastAsia="DengXian" w:hAnsi="Arial" w:cs="Arial"/>
        </w:rPr>
      </w:pPr>
    </w:p>
    <w:p w14:paraId="7CE4CD31" w14:textId="77777777" w:rsidR="006578AF" w:rsidRDefault="006578AF">
      <w:pPr>
        <w:spacing w:before="120" w:after="120" w:line="288" w:lineRule="auto"/>
        <w:rPr>
          <w:rFonts w:ascii="Arial" w:eastAsia="DengXian" w:hAnsi="Arial" w:cs="Arial"/>
        </w:rPr>
      </w:pPr>
    </w:p>
    <w:p w14:paraId="65875936" w14:textId="77777777" w:rsidR="006578AF" w:rsidRDefault="006578AF">
      <w:pPr>
        <w:spacing w:before="120" w:after="120" w:line="288" w:lineRule="auto"/>
        <w:rPr>
          <w:rFonts w:ascii="Arial" w:eastAsia="DengXian" w:hAnsi="Arial" w:cs="Arial"/>
        </w:rPr>
      </w:pPr>
    </w:p>
    <w:p w14:paraId="1A23350A" w14:textId="77777777" w:rsidR="006578AF" w:rsidRDefault="006578AF">
      <w:pPr>
        <w:spacing w:before="120" w:after="120" w:line="288" w:lineRule="auto"/>
        <w:rPr>
          <w:rFonts w:ascii="Arial" w:eastAsia="DengXian" w:hAnsi="Arial" w:cs="Arial"/>
        </w:rPr>
      </w:pPr>
    </w:p>
    <w:p w14:paraId="1A1561E6" w14:textId="77777777" w:rsidR="006578AF" w:rsidRDefault="006578AF">
      <w:pPr>
        <w:spacing w:before="120" w:after="120" w:line="288" w:lineRule="auto"/>
        <w:rPr>
          <w:rFonts w:ascii="Arial" w:eastAsia="DengXian" w:hAnsi="Arial" w:cs="Arial"/>
        </w:rPr>
      </w:pPr>
    </w:p>
    <w:p w14:paraId="1E3DC97A" w14:textId="77777777" w:rsidR="006578AF" w:rsidRDefault="006578AF">
      <w:pPr>
        <w:spacing w:before="120" w:after="120" w:line="288" w:lineRule="auto"/>
        <w:rPr>
          <w:rFonts w:ascii="Arial" w:eastAsia="DengXian" w:hAnsi="Arial" w:cs="Arial"/>
        </w:rPr>
      </w:pPr>
    </w:p>
    <w:p w14:paraId="13F72B42" w14:textId="77777777" w:rsidR="006578AF" w:rsidRDefault="006578AF">
      <w:pPr>
        <w:spacing w:before="120" w:after="120" w:line="288" w:lineRule="auto"/>
        <w:rPr>
          <w:rFonts w:ascii="Arial" w:eastAsia="DengXian" w:hAnsi="Arial" w:cs="Arial"/>
        </w:rPr>
      </w:pPr>
    </w:p>
    <w:p w14:paraId="0A02AC84" w14:textId="77777777" w:rsidR="006578AF" w:rsidRDefault="006578AF">
      <w:pPr>
        <w:spacing w:before="120" w:after="120" w:line="288" w:lineRule="auto"/>
        <w:rPr>
          <w:rFonts w:ascii="Arial" w:eastAsia="DengXian" w:hAnsi="Arial" w:cs="Arial"/>
        </w:rPr>
      </w:pPr>
    </w:p>
    <w:p w14:paraId="6EDCC42D" w14:textId="77777777" w:rsidR="006578AF" w:rsidRDefault="006578AF">
      <w:pPr>
        <w:spacing w:before="120" w:after="120" w:line="288" w:lineRule="auto"/>
        <w:rPr>
          <w:rFonts w:ascii="Arial" w:eastAsia="DengXian" w:hAnsi="Arial" w:cs="Arial"/>
        </w:rPr>
      </w:pPr>
    </w:p>
    <w:p w14:paraId="22CB4590" w14:textId="77777777" w:rsidR="006578AF" w:rsidRDefault="006578AF">
      <w:pPr>
        <w:spacing w:before="120" w:after="120" w:line="288" w:lineRule="auto"/>
        <w:rPr>
          <w:rFonts w:ascii="Arial" w:eastAsia="DengXian" w:hAnsi="Arial" w:cs="Arial"/>
        </w:rPr>
      </w:pPr>
    </w:p>
    <w:p w14:paraId="6CC422C4" w14:textId="77777777" w:rsidR="006578AF" w:rsidRDefault="006578AF">
      <w:pPr>
        <w:spacing w:before="120" w:after="120" w:line="288" w:lineRule="auto"/>
        <w:rPr>
          <w:rFonts w:ascii="Arial" w:eastAsia="DengXian" w:hAnsi="Arial" w:cs="Arial"/>
        </w:rPr>
      </w:pPr>
    </w:p>
    <w:p w14:paraId="53776AC1" w14:textId="77777777" w:rsidR="006578AF" w:rsidRDefault="006578AF">
      <w:pPr>
        <w:spacing w:before="120" w:after="120" w:line="288" w:lineRule="auto"/>
        <w:rPr>
          <w:rFonts w:ascii="Arial" w:eastAsia="DengXian" w:hAnsi="Arial" w:cs="Arial"/>
        </w:rPr>
      </w:pPr>
    </w:p>
    <w:p w14:paraId="748C0E37" w14:textId="77777777" w:rsidR="006578AF" w:rsidRDefault="006578AF">
      <w:pPr>
        <w:spacing w:before="120" w:after="120" w:line="288" w:lineRule="auto"/>
        <w:rPr>
          <w:rFonts w:ascii="Arial" w:eastAsia="DengXian" w:hAnsi="Arial" w:cs="Arial"/>
        </w:rPr>
      </w:pPr>
    </w:p>
    <w:p w14:paraId="71CE11F2" w14:textId="77777777" w:rsidR="006578AF" w:rsidRDefault="006578AF">
      <w:pPr>
        <w:spacing w:before="120" w:after="120" w:line="288" w:lineRule="auto"/>
        <w:rPr>
          <w:rFonts w:ascii="Arial" w:eastAsia="DengXian" w:hAnsi="Arial" w:cs="Arial"/>
        </w:rPr>
      </w:pPr>
    </w:p>
    <w:p w14:paraId="743CED8C" w14:textId="77777777" w:rsidR="006578AF" w:rsidRDefault="006578AF">
      <w:pPr>
        <w:spacing w:before="120" w:after="120" w:line="288" w:lineRule="auto"/>
        <w:rPr>
          <w:rFonts w:ascii="Arial" w:eastAsia="DengXian" w:hAnsi="Arial" w:cs="Arial"/>
        </w:rPr>
      </w:pPr>
    </w:p>
    <w:p w14:paraId="19C8EEEA" w14:textId="4E1C8471" w:rsidR="006578AF" w:rsidRPr="004A7CA1" w:rsidRDefault="006578AF" w:rsidP="004A7CA1">
      <w:pPr>
        <w:spacing w:before="120" w:after="120" w:line="288" w:lineRule="auto"/>
        <w:ind w:firstLineChars="50" w:firstLine="120"/>
        <w:rPr>
          <w:rFonts w:hint="eastAsia"/>
          <w:color w:val="FF0000"/>
          <w:sz w:val="24"/>
        </w:rPr>
      </w:pPr>
      <w:r w:rsidRPr="004A7CA1">
        <w:rPr>
          <w:color w:val="FF0000"/>
          <w:sz w:val="24"/>
        </w:rPr>
        <w:lastRenderedPageBreak/>
        <w:t>有限期MDP</w:t>
      </w:r>
      <w:r w:rsidRPr="004A7CA1">
        <w:rPr>
          <w:rFonts w:hint="eastAsia"/>
          <w:color w:val="FF0000"/>
          <w:sz w:val="24"/>
        </w:rPr>
        <w:t>与</w:t>
      </w:r>
      <w:r w:rsidRPr="004A7CA1">
        <w:rPr>
          <w:color w:val="FF0000"/>
          <w:sz w:val="24"/>
        </w:rPr>
        <w:t>时间感知t</w:t>
      </w:r>
      <w:r w:rsidR="00B60DDA" w:rsidRPr="004A7CA1">
        <w:rPr>
          <w:rFonts w:hint="eastAsia"/>
          <w:color w:val="FF0000"/>
          <w:sz w:val="24"/>
        </w:rPr>
        <w:t xml:space="preserve">的状态 </w:t>
      </w:r>
    </w:p>
    <w:p w14:paraId="4C82550C" w14:textId="31F38EE0" w:rsidR="006578AF" w:rsidRPr="00E63848" w:rsidRDefault="006578AF" w:rsidP="006578AF">
      <w:pPr>
        <w:spacing w:before="120" w:after="120" w:line="288" w:lineRule="auto"/>
        <w:rPr>
          <w:sz w:val="24"/>
        </w:rPr>
      </w:pPr>
      <w:r w:rsidRPr="00E63848">
        <w:rPr>
          <w:sz w:val="24"/>
        </w:rPr>
        <w:t xml:space="preserve"> ICML 2018 </w:t>
      </w:r>
    </w:p>
    <w:p w14:paraId="67CBBFD6" w14:textId="7D0AD280" w:rsidR="006578AF" w:rsidRPr="00E63848" w:rsidRDefault="006578AF" w:rsidP="006578AF">
      <w:pPr>
        <w:spacing w:before="120" w:after="120" w:line="288" w:lineRule="auto"/>
        <w:rPr>
          <w:sz w:val="24"/>
        </w:rPr>
      </w:pPr>
      <w:r w:rsidRPr="00E63848">
        <w:rPr>
          <w:sz w:val="24"/>
        </w:rPr>
        <w:t>《Time Limits in Reinforcement Learning》。</w:t>
      </w:r>
    </w:p>
    <w:p w14:paraId="0E8B6331" w14:textId="009F4D00" w:rsidR="006578AF" w:rsidRPr="00E63848" w:rsidRDefault="006578AF" w:rsidP="006578AF">
      <w:pPr>
        <w:spacing w:before="120" w:after="120" w:line="288" w:lineRule="auto"/>
        <w:rPr>
          <w:sz w:val="24"/>
        </w:rPr>
      </w:pPr>
      <w:r w:rsidRPr="00E63848">
        <w:rPr>
          <w:sz w:val="24"/>
        </w:rPr>
        <w:t>【原文 】</w:t>
      </w:r>
    </w:p>
    <w:p w14:paraId="1468F83D" w14:textId="233A7AE1" w:rsidR="006578AF" w:rsidRPr="00E63848" w:rsidRDefault="006578AF" w:rsidP="006578AF">
      <w:pPr>
        <w:spacing w:before="120" w:after="120" w:line="288" w:lineRule="auto"/>
        <w:rPr>
          <w:b/>
          <w:bCs/>
          <w:sz w:val="24"/>
        </w:rPr>
      </w:pPr>
      <w:r w:rsidRPr="00E63848">
        <w:rPr>
          <w:b/>
          <w:bCs/>
          <w:sz w:val="24"/>
        </w:rPr>
        <w:t>we argue that the terminations due to time limits are in</w:t>
      </w:r>
    </w:p>
    <w:p w14:paraId="1A0800CC" w14:textId="77777777" w:rsidR="006578AF" w:rsidRPr="00E63848" w:rsidRDefault="006578AF" w:rsidP="006578AF">
      <w:pPr>
        <w:spacing w:before="120" w:after="120" w:line="288" w:lineRule="auto"/>
        <w:rPr>
          <w:b/>
          <w:bCs/>
          <w:sz w:val="24"/>
        </w:rPr>
      </w:pPr>
      <w:r w:rsidRPr="00E63848">
        <w:rPr>
          <w:b/>
          <w:bCs/>
          <w:sz w:val="24"/>
        </w:rPr>
        <w:t>fact part of the environment, and thus a notion of the remaining time</w:t>
      </w:r>
    </w:p>
    <w:p w14:paraId="40135445" w14:textId="77777777" w:rsidR="006578AF" w:rsidRPr="00E63848" w:rsidRDefault="006578AF" w:rsidP="006578AF">
      <w:pPr>
        <w:spacing w:before="120" w:after="120" w:line="288" w:lineRule="auto"/>
        <w:rPr>
          <w:b/>
          <w:bCs/>
          <w:sz w:val="24"/>
        </w:rPr>
      </w:pPr>
      <w:r w:rsidRPr="00E63848">
        <w:rPr>
          <w:b/>
          <w:bCs/>
          <w:sz w:val="24"/>
        </w:rPr>
        <w:t>should be included as part of the agent&amp;#</w:t>
      </w:r>
      <w:proofErr w:type="gramStart"/>
      <w:r w:rsidRPr="00E63848">
        <w:rPr>
          <w:b/>
          <w:bCs/>
          <w:sz w:val="24"/>
        </w:rPr>
        <w:t>39;s</w:t>
      </w:r>
      <w:proofErr w:type="gramEnd"/>
      <w:r w:rsidRPr="00E63848">
        <w:rPr>
          <w:b/>
          <w:bCs/>
          <w:sz w:val="24"/>
        </w:rPr>
        <w:t xml:space="preserve"> input to avoid violation of</w:t>
      </w:r>
    </w:p>
    <w:p w14:paraId="4094C3D1" w14:textId="77777777" w:rsidR="006578AF" w:rsidRPr="00E63848" w:rsidRDefault="006578AF" w:rsidP="006578AF">
      <w:pPr>
        <w:spacing w:before="120" w:after="120" w:line="288" w:lineRule="auto"/>
        <w:rPr>
          <w:b/>
          <w:bCs/>
          <w:sz w:val="24"/>
        </w:rPr>
      </w:pPr>
      <w:r w:rsidRPr="00E63848">
        <w:rPr>
          <w:b/>
          <w:bCs/>
          <w:sz w:val="24"/>
        </w:rPr>
        <w:t xml:space="preserve">the Markov </w:t>
      </w:r>
      <w:proofErr w:type="gramStart"/>
      <w:r w:rsidRPr="00E63848">
        <w:rPr>
          <w:b/>
          <w:bCs/>
          <w:sz w:val="24"/>
        </w:rPr>
        <w:t>property.&amp;</w:t>
      </w:r>
      <w:proofErr w:type="spellStart"/>
      <w:proofErr w:type="gramEnd"/>
      <w:r w:rsidRPr="00E63848">
        <w:rPr>
          <w:b/>
          <w:bCs/>
          <w:sz w:val="24"/>
        </w:rPr>
        <w:t>quot</w:t>
      </w:r>
      <w:proofErr w:type="spellEnd"/>
      <w:r w:rsidRPr="00E63848">
        <w:rPr>
          <w:b/>
          <w:bCs/>
          <w:sz w:val="24"/>
        </w:rPr>
        <w:t>; (Pardo et al., 2018)</w:t>
      </w:r>
    </w:p>
    <w:p w14:paraId="676BF227" w14:textId="77777777" w:rsidR="006578AF" w:rsidRPr="00E63848" w:rsidRDefault="006578AF" w:rsidP="006578AF">
      <w:pPr>
        <w:spacing w:before="120" w:after="120" w:line="288" w:lineRule="auto"/>
        <w:rPr>
          <w:sz w:val="24"/>
        </w:rPr>
      </w:pPr>
    </w:p>
    <w:p w14:paraId="6D6A1EED" w14:textId="77777777" w:rsidR="00E63848" w:rsidRDefault="006578AF" w:rsidP="00E63848">
      <w:pPr>
        <w:spacing w:before="120" w:after="120" w:line="288" w:lineRule="auto"/>
        <w:rPr>
          <w:rFonts w:ascii="Arial" w:hAnsi="Arial" w:cs="Arial"/>
          <w:sz w:val="24"/>
        </w:rPr>
      </w:pPr>
      <w:r w:rsidRPr="00E63848">
        <w:rPr>
          <w:sz w:val="24"/>
        </w:rPr>
        <w:t>在带有时间限制的任务中，</w:t>
      </w:r>
      <w:r w:rsidR="00E63848" w:rsidRPr="00E63848">
        <w:rPr>
          <w:rFonts w:ascii="Arial" w:hAnsi="Arial" w:cs="Arial"/>
          <w:sz w:val="24"/>
        </w:rPr>
        <w:t>我们认为，因时间限制触发的终止状态实际上属于环境的一部分，因此应当将剩余时间信息纳入智能体的输入内容，以避免违背马尔可夫性。</w:t>
      </w:r>
    </w:p>
    <w:p w14:paraId="735F1D3A" w14:textId="410FE1FA" w:rsidR="00E63848" w:rsidRPr="00E63848" w:rsidRDefault="00E63848" w:rsidP="00E63848">
      <w:pPr>
        <w:spacing w:before="120" w:after="120" w:line="288" w:lineRule="auto"/>
        <w:rPr>
          <w:rFonts w:ascii="Arial" w:hAnsi="Arial" w:cs="Arial" w:hint="eastAsia"/>
          <w:sz w:val="24"/>
        </w:rPr>
      </w:pPr>
      <w:r>
        <w:rPr>
          <w:rFonts w:ascii="Arial" w:hAnsi="Arial" w:cs="Arial"/>
          <w:sz w:val="24"/>
        </w:rPr>
        <w:tab/>
      </w:r>
    </w:p>
    <w:p w14:paraId="7F260822" w14:textId="6F8571C2" w:rsidR="006578AF" w:rsidRPr="00E63848" w:rsidRDefault="006578AF" w:rsidP="00E63848">
      <w:pPr>
        <w:spacing w:before="120" w:after="120" w:line="288" w:lineRule="auto"/>
        <w:rPr>
          <w:sz w:val="24"/>
        </w:rPr>
      </w:pPr>
      <w:r w:rsidRPr="00E63848">
        <w:rPr>
          <w:sz w:val="24"/>
        </w:rPr>
        <w:t>【原文 】</w:t>
      </w:r>
    </w:p>
    <w:p w14:paraId="7112F78F" w14:textId="4A90D3E4" w:rsidR="006578AF" w:rsidRPr="00E63848" w:rsidRDefault="006578AF" w:rsidP="006578AF">
      <w:pPr>
        <w:spacing w:before="120" w:after="120" w:line="288" w:lineRule="auto"/>
        <w:rPr>
          <w:sz w:val="24"/>
        </w:rPr>
      </w:pPr>
      <w:proofErr w:type="gramStart"/>
      <w:r w:rsidRPr="00E63848">
        <w:rPr>
          <w:sz w:val="24"/>
        </w:rPr>
        <w:t>;The</w:t>
      </w:r>
      <w:proofErr w:type="gramEnd"/>
      <w:r w:rsidRPr="00E63848">
        <w:rPr>
          <w:sz w:val="24"/>
        </w:rPr>
        <w:t xml:space="preserve"> time-aware version of PPO concatenates the observations provided by</w:t>
      </w:r>
    </w:p>
    <w:p w14:paraId="7FB028D9" w14:textId="77777777" w:rsidR="006578AF" w:rsidRPr="00E63848" w:rsidRDefault="006578AF" w:rsidP="006578AF">
      <w:pPr>
        <w:spacing w:before="120" w:after="120" w:line="288" w:lineRule="auto"/>
        <w:rPr>
          <w:sz w:val="24"/>
        </w:rPr>
      </w:pPr>
      <w:r w:rsidRPr="00E63848">
        <w:rPr>
          <w:sz w:val="24"/>
        </w:rPr>
        <w:t>the environment and the remaining time represented by a scalar</w:t>
      </w:r>
    </w:p>
    <w:p w14:paraId="241C0F6F" w14:textId="77777777" w:rsidR="006578AF" w:rsidRPr="00E63848" w:rsidRDefault="006578AF" w:rsidP="006578AF">
      <w:pPr>
        <w:spacing w:before="120" w:after="120" w:line="288" w:lineRule="auto"/>
        <w:rPr>
          <w:sz w:val="24"/>
        </w:rPr>
      </w:pPr>
      <w:r w:rsidRPr="00E63848">
        <w:rPr>
          <w:sz w:val="24"/>
        </w:rPr>
        <w:t xml:space="preserve">(normalized from </w:t>
      </w:r>
      <w:r w:rsidRPr="00E63848">
        <w:rPr>
          <w:rFonts w:ascii="Cambria Math" w:hAnsi="Cambria Math" w:cs="Cambria Math"/>
          <w:sz w:val="24"/>
        </w:rPr>
        <w:t>−</w:t>
      </w:r>
      <w:r w:rsidRPr="00E63848">
        <w:rPr>
          <w:sz w:val="24"/>
        </w:rPr>
        <w:t>1 to 1</w:t>
      </w:r>
      <w:proofErr w:type="gramStart"/>
      <w:r w:rsidRPr="00E63848">
        <w:rPr>
          <w:sz w:val="24"/>
        </w:rPr>
        <w:t>).&amp;</w:t>
      </w:r>
      <w:proofErr w:type="spellStart"/>
      <w:proofErr w:type="gramEnd"/>
      <w:r w:rsidRPr="00E63848">
        <w:rPr>
          <w:sz w:val="24"/>
        </w:rPr>
        <w:t>quot</w:t>
      </w:r>
      <w:proofErr w:type="spellEnd"/>
      <w:r w:rsidRPr="00E63848">
        <w:rPr>
          <w:sz w:val="24"/>
        </w:rPr>
        <w:t>;</w:t>
      </w:r>
    </w:p>
    <w:p w14:paraId="6388DFE0" w14:textId="65DA0134" w:rsidR="006578AF" w:rsidRPr="00E63848" w:rsidRDefault="006578AF" w:rsidP="006578AF">
      <w:pPr>
        <w:spacing w:before="120" w:after="120" w:line="288" w:lineRule="auto"/>
        <w:rPr>
          <w:rFonts w:hint="eastAsia"/>
          <w:sz w:val="24"/>
        </w:rPr>
      </w:pPr>
      <w:r w:rsidRPr="00E63848">
        <w:rPr>
          <w:sz w:val="24"/>
        </w:rPr>
        <w:t>算法代码映射</w:t>
      </w:r>
    </w:p>
    <w:p w14:paraId="3980CE0F" w14:textId="573DDFAA" w:rsidR="006578AF" w:rsidRDefault="006578AF" w:rsidP="006578AF">
      <w:pPr>
        <w:spacing w:before="120" w:after="120" w:line="288" w:lineRule="auto"/>
        <w:rPr>
          <w:sz w:val="24"/>
        </w:rPr>
      </w:pPr>
      <w:r w:rsidRPr="00E63848">
        <w:rPr>
          <w:sz w:val="24"/>
        </w:rPr>
        <w:t>在标准的强化学习算法（如PPO、DQN或</w:t>
      </w:r>
      <w:r w:rsidR="00B60DDA" w:rsidRPr="00E63848">
        <w:rPr>
          <w:rFonts w:hint="eastAsia"/>
          <w:sz w:val="24"/>
        </w:rPr>
        <w:t>原文</w:t>
      </w:r>
      <w:r w:rsidRPr="00E63848">
        <w:rPr>
          <w:sz w:val="24"/>
        </w:rPr>
        <w:t>的自研Actor网络）中，智能体的策略网络在每一个离散时间步 t</w:t>
      </w:r>
      <w:r w:rsidR="004A7CA1">
        <w:rPr>
          <w:rFonts w:hint="eastAsia"/>
          <w:sz w:val="24"/>
        </w:rPr>
        <w:t>，</w:t>
      </w:r>
      <w:r w:rsidRPr="00E63848">
        <w:rPr>
          <w:sz w:val="24"/>
        </w:rPr>
        <w:t>都会执行一次前向传播（Forward Pass）。</w:t>
      </w:r>
    </w:p>
    <w:p w14:paraId="35542BDE" w14:textId="77777777" w:rsidR="004A7CA1" w:rsidRPr="00E63848" w:rsidRDefault="004A7CA1" w:rsidP="006578AF">
      <w:pPr>
        <w:spacing w:before="120" w:after="120" w:line="288" w:lineRule="auto"/>
        <w:rPr>
          <w:rFonts w:hint="eastAsia"/>
          <w:sz w:val="24"/>
        </w:rPr>
      </w:pPr>
    </w:p>
    <w:p w14:paraId="1D6DD6B7" w14:textId="77777777" w:rsidR="006578AF" w:rsidRPr="00E63848" w:rsidRDefault="006578AF" w:rsidP="006578AF">
      <w:pPr>
        <w:spacing w:before="120" w:after="120" w:line="288" w:lineRule="auto"/>
        <w:rPr>
          <w:sz w:val="24"/>
        </w:rPr>
      </w:pPr>
      <w:r w:rsidRPr="00E63848">
        <w:rPr>
          <w:sz w:val="24"/>
        </w:rPr>
        <w:t>在代码实现中，环境（Environment）的 step(action) 函数在返回下一状态</w:t>
      </w:r>
    </w:p>
    <w:p w14:paraId="19D2E5FA" w14:textId="77777777" w:rsidR="006578AF" w:rsidRPr="00E63848" w:rsidRDefault="006578AF" w:rsidP="006578AF">
      <w:pPr>
        <w:spacing w:before="120" w:after="120" w:line="288" w:lineRule="auto"/>
        <w:rPr>
          <w:sz w:val="24"/>
        </w:rPr>
      </w:pPr>
      <w:proofErr w:type="spellStart"/>
      <w:r w:rsidRPr="00E63848">
        <w:rPr>
          <w:sz w:val="24"/>
        </w:rPr>
        <w:t>next_state</w:t>
      </w:r>
      <w:proofErr w:type="spellEnd"/>
      <w:r w:rsidRPr="00E63848">
        <w:rPr>
          <w:sz w:val="24"/>
        </w:rPr>
        <w:t xml:space="preserve"> 时，必须执行“拼接（concatenate）”操作。即：</w:t>
      </w:r>
    </w:p>
    <w:p w14:paraId="4ACD63D6" w14:textId="77777777" w:rsidR="006578AF" w:rsidRPr="00E63848" w:rsidRDefault="006578AF" w:rsidP="006578AF">
      <w:pPr>
        <w:spacing w:before="120" w:after="120" w:line="288" w:lineRule="auto"/>
        <w:rPr>
          <w:sz w:val="24"/>
        </w:rPr>
      </w:pPr>
      <w:r w:rsidRPr="00E63848">
        <w:rPr>
          <w:sz w:val="24"/>
        </w:rPr>
        <w:t xml:space="preserve"> </w:t>
      </w:r>
      <w:proofErr w:type="spellStart"/>
      <w:r w:rsidRPr="00E63848">
        <w:rPr>
          <w:sz w:val="24"/>
        </w:rPr>
        <w:t>Input_t</w:t>
      </w:r>
      <w:proofErr w:type="spellEnd"/>
      <w:r w:rsidRPr="00E63848">
        <w:rPr>
          <w:sz w:val="24"/>
        </w:rPr>
        <w:t xml:space="preserve"> = </w:t>
      </w:r>
      <w:proofErr w:type="gramStart"/>
      <w:r w:rsidRPr="00E63848">
        <w:rPr>
          <w:sz w:val="24"/>
        </w:rPr>
        <w:t>torch.cat(</w:t>
      </w:r>
      <w:proofErr w:type="gramEnd"/>
      <w:r w:rsidRPr="00E63848">
        <w:rPr>
          <w:sz w:val="24"/>
        </w:rPr>
        <w:t>[</w:t>
      </w:r>
      <w:proofErr w:type="spellStart"/>
      <w:r w:rsidRPr="00E63848">
        <w:rPr>
          <w:sz w:val="24"/>
        </w:rPr>
        <w:t>Observation_t</w:t>
      </w:r>
      <w:proofErr w:type="spellEnd"/>
      <w:r w:rsidRPr="00E63848">
        <w:rPr>
          <w:sz w:val="24"/>
        </w:rPr>
        <w:t xml:space="preserve">, </w:t>
      </w:r>
      <w:proofErr w:type="spellStart"/>
      <w:r w:rsidRPr="00E63848">
        <w:rPr>
          <w:sz w:val="24"/>
        </w:rPr>
        <w:t>Time_t</w:t>
      </w:r>
      <w:proofErr w:type="spellEnd"/>
      <w:r w:rsidRPr="00E63848">
        <w:rPr>
          <w:sz w:val="24"/>
        </w:rPr>
        <w:t>])</w:t>
      </w:r>
    </w:p>
    <w:p w14:paraId="447BF58A" w14:textId="77777777" w:rsidR="006578AF" w:rsidRPr="00E63848" w:rsidRDefault="006578AF" w:rsidP="006578AF">
      <w:pPr>
        <w:spacing w:before="120" w:after="120" w:line="288" w:lineRule="auto"/>
        <w:rPr>
          <w:sz w:val="24"/>
        </w:rPr>
      </w:pPr>
      <w:r w:rsidRPr="00E63848">
        <w:rPr>
          <w:sz w:val="24"/>
        </w:rPr>
        <w:t>在每一步（Every single step），智能体接收到的输入不仅是物理状态（如当前</w:t>
      </w:r>
    </w:p>
    <w:p w14:paraId="62877F14" w14:textId="77777777" w:rsidR="006578AF" w:rsidRPr="00E63848" w:rsidRDefault="006578AF" w:rsidP="006578AF">
      <w:pPr>
        <w:spacing w:before="120" w:after="120" w:line="288" w:lineRule="auto"/>
        <w:rPr>
          <w:sz w:val="24"/>
        </w:rPr>
      </w:pPr>
      <w:r w:rsidRPr="00E63848">
        <w:rPr>
          <w:sz w:val="24"/>
        </w:rPr>
        <w:t xml:space="preserve">库存、在途订单），还强制包含一个归一化后的时间标量（如本文代码中的 </w:t>
      </w:r>
      <w:proofErr w:type="spellStart"/>
      <w:r w:rsidRPr="00E63848">
        <w:rPr>
          <w:sz w:val="24"/>
        </w:rPr>
        <w:t>tn</w:t>
      </w:r>
      <w:proofErr w:type="spellEnd"/>
      <w:r w:rsidRPr="00E63848">
        <w:rPr>
          <w:sz w:val="24"/>
        </w:rPr>
        <w:t xml:space="preserve"> =</w:t>
      </w:r>
    </w:p>
    <w:p w14:paraId="03231B34" w14:textId="77777777" w:rsidR="006578AF" w:rsidRPr="00E63848" w:rsidRDefault="006578AF" w:rsidP="006578AF">
      <w:pPr>
        <w:spacing w:before="120" w:after="120" w:line="288" w:lineRule="auto"/>
        <w:rPr>
          <w:sz w:val="24"/>
        </w:rPr>
      </w:pPr>
      <w:r w:rsidRPr="00E63848">
        <w:rPr>
          <w:sz w:val="24"/>
        </w:rPr>
        <w:t xml:space="preserve">t / </w:t>
      </w:r>
      <w:proofErr w:type="spellStart"/>
      <w:r w:rsidRPr="00E63848">
        <w:rPr>
          <w:sz w:val="24"/>
        </w:rPr>
        <w:t>self.T</w:t>
      </w:r>
      <w:proofErr w:type="spellEnd"/>
      <w:r w:rsidRPr="00E63848">
        <w:rPr>
          <w:sz w:val="24"/>
        </w:rPr>
        <w:t>）。由于网络在每一步都需要这个输入才能计算输出，这就意味着智能</w:t>
      </w:r>
    </w:p>
    <w:p w14:paraId="74D753CF" w14:textId="77777777" w:rsidR="006578AF" w:rsidRPr="00E63848" w:rsidRDefault="006578AF" w:rsidP="006578AF">
      <w:pPr>
        <w:spacing w:before="120" w:after="120" w:line="288" w:lineRule="auto"/>
        <w:rPr>
          <w:sz w:val="24"/>
        </w:rPr>
      </w:pPr>
      <w:r w:rsidRPr="00E63848">
        <w:rPr>
          <w:sz w:val="24"/>
        </w:rPr>
        <w:t>体在每一步都明确被告知了当前的相对时间进度。</w:t>
      </w:r>
    </w:p>
    <w:p w14:paraId="4EC074DC" w14:textId="7923C26E" w:rsidR="006578AF" w:rsidRPr="004A7CA1" w:rsidRDefault="006578AF" w:rsidP="006578AF">
      <w:pPr>
        <w:spacing w:before="120" w:after="120" w:line="288" w:lineRule="auto"/>
        <w:rPr>
          <w:b/>
          <w:bCs/>
          <w:sz w:val="24"/>
        </w:rPr>
      </w:pPr>
      <w:r w:rsidRPr="004A7CA1">
        <w:rPr>
          <w:b/>
          <w:bCs/>
          <w:sz w:val="24"/>
        </w:rPr>
        <w:lastRenderedPageBreak/>
        <w:t>学术界对于有限期/非平稳MDP的共识</w:t>
      </w:r>
    </w:p>
    <w:p w14:paraId="3E7D0C8C" w14:textId="039D4481" w:rsidR="006578AF" w:rsidRPr="00E63848" w:rsidRDefault="006578AF" w:rsidP="006578AF">
      <w:pPr>
        <w:spacing w:before="120" w:after="120" w:line="288" w:lineRule="auto"/>
        <w:rPr>
          <w:rFonts w:hint="eastAsia"/>
          <w:sz w:val="24"/>
        </w:rPr>
      </w:pPr>
      <w:r w:rsidRPr="00E63848">
        <w:rPr>
          <w:sz w:val="24"/>
        </w:rPr>
        <w:t>将时间 t 加入状态以求解有限期 MDP</w:t>
      </w:r>
      <w:r w:rsidR="004A7CA1">
        <w:rPr>
          <w:rFonts w:hint="eastAsia"/>
          <w:sz w:val="24"/>
        </w:rPr>
        <w:t>：</w:t>
      </w:r>
    </w:p>
    <w:p w14:paraId="5E572ADA" w14:textId="2A21D25C" w:rsidR="006578AF" w:rsidRPr="00E63848" w:rsidRDefault="006578AF" w:rsidP="006578AF">
      <w:pPr>
        <w:spacing w:before="120" w:after="120" w:line="288" w:lineRule="auto"/>
        <w:rPr>
          <w:sz w:val="24"/>
        </w:rPr>
      </w:pPr>
      <w:r w:rsidRPr="00E63848">
        <w:rPr>
          <w:sz w:val="24"/>
        </w:rPr>
        <w:t>1.：</w:t>
      </w:r>
    </w:p>
    <w:p w14:paraId="5113DEC9" w14:textId="77777777" w:rsidR="006578AF" w:rsidRPr="00E63848" w:rsidRDefault="006578AF" w:rsidP="006578AF">
      <w:pPr>
        <w:spacing w:before="120" w:after="120" w:line="288" w:lineRule="auto"/>
        <w:rPr>
          <w:sz w:val="24"/>
        </w:rPr>
      </w:pPr>
      <w:r w:rsidRPr="00E63848">
        <w:rPr>
          <w:sz w:val="24"/>
        </w:rPr>
        <w:t xml:space="preserve">在 </w:t>
      </w:r>
      <w:proofErr w:type="spellStart"/>
      <w:r w:rsidRPr="00E63848">
        <w:rPr>
          <w:sz w:val="24"/>
        </w:rPr>
        <w:t>Bertsekas</w:t>
      </w:r>
      <w:proofErr w:type="spellEnd"/>
      <w:r w:rsidRPr="00E63848">
        <w:rPr>
          <w:sz w:val="24"/>
        </w:rPr>
        <w:t xml:space="preserve"> (2019) 的控制论经典教材《Reinforcement Learning and Optimal</w:t>
      </w:r>
    </w:p>
    <w:p w14:paraId="0256ACF3" w14:textId="77777777" w:rsidR="006578AF" w:rsidRPr="00E63848" w:rsidRDefault="006578AF" w:rsidP="006578AF">
      <w:pPr>
        <w:spacing w:before="120" w:after="120" w:line="288" w:lineRule="auto"/>
        <w:rPr>
          <w:sz w:val="24"/>
        </w:rPr>
      </w:pPr>
      <w:r w:rsidRPr="00E63848">
        <w:rPr>
          <w:sz w:val="24"/>
        </w:rPr>
        <w:t>Control》中明确指出，对于任何具有有限视野（Finite Horizon）的动态规划或</w:t>
      </w:r>
    </w:p>
    <w:p w14:paraId="52359748" w14:textId="77777777" w:rsidR="006578AF" w:rsidRPr="00E63848" w:rsidRDefault="006578AF" w:rsidP="006578AF">
      <w:pPr>
        <w:spacing w:before="120" w:after="120" w:line="288" w:lineRule="auto"/>
        <w:rPr>
          <w:sz w:val="24"/>
        </w:rPr>
      </w:pPr>
      <w:r w:rsidRPr="00E63848">
        <w:rPr>
          <w:sz w:val="24"/>
        </w:rPr>
        <w:t>强化学习问题，其最优策略本质上是非平稳的（Non-stationary policy）。为了</w:t>
      </w:r>
    </w:p>
    <w:p w14:paraId="39593305" w14:textId="5D96F580" w:rsidR="006578AF" w:rsidRPr="00E63848" w:rsidRDefault="006578AF" w:rsidP="006578AF">
      <w:pPr>
        <w:spacing w:before="120" w:after="120" w:line="288" w:lineRule="auto"/>
        <w:rPr>
          <w:sz w:val="24"/>
        </w:rPr>
      </w:pPr>
      <w:r w:rsidRPr="00E63848">
        <w:rPr>
          <w:sz w:val="24"/>
        </w:rPr>
        <w:t>用单一的神经网络拟合这种非平稳策略，状态扩充（State Augmentation，即把时间索引 t 视为状态的一部分）是</w:t>
      </w:r>
      <w:r w:rsidR="00B60DDA" w:rsidRPr="00E63848">
        <w:rPr>
          <w:rFonts w:hint="eastAsia"/>
          <w:sz w:val="24"/>
        </w:rPr>
        <w:t>必须的</w:t>
      </w:r>
      <w:r w:rsidRPr="00E63848">
        <w:rPr>
          <w:sz w:val="24"/>
        </w:rPr>
        <w:t>。</w:t>
      </w:r>
    </w:p>
    <w:p w14:paraId="2E07260D" w14:textId="479E6EAE" w:rsidR="006578AF" w:rsidRPr="00E63848" w:rsidRDefault="006578AF" w:rsidP="006578AF">
      <w:pPr>
        <w:spacing w:before="120" w:after="120" w:line="288" w:lineRule="auto"/>
        <w:rPr>
          <w:sz w:val="24"/>
        </w:rPr>
      </w:pPr>
      <w:r w:rsidRPr="00E63848">
        <w:rPr>
          <w:sz w:val="24"/>
        </w:rPr>
        <w:t>2. 供应链与非平稳强化学习：</w:t>
      </w:r>
    </w:p>
    <w:p w14:paraId="634B9564" w14:textId="77777777" w:rsidR="006578AF" w:rsidRPr="00E63848" w:rsidRDefault="006578AF" w:rsidP="006578AF">
      <w:pPr>
        <w:spacing w:before="120" w:after="120" w:line="288" w:lineRule="auto"/>
        <w:rPr>
          <w:sz w:val="24"/>
        </w:rPr>
      </w:pPr>
      <w:r w:rsidRPr="00E63848">
        <w:rPr>
          <w:sz w:val="24"/>
        </w:rPr>
        <w:t>Mao 等人 (2024) 发表在《Management Science》上的最新研究《Model-free</w:t>
      </w:r>
    </w:p>
    <w:p w14:paraId="65AF00E8" w14:textId="77777777" w:rsidR="006578AF" w:rsidRPr="00E63848" w:rsidRDefault="006578AF" w:rsidP="006578AF">
      <w:pPr>
        <w:spacing w:before="120" w:after="120" w:line="288" w:lineRule="auto"/>
        <w:rPr>
          <w:sz w:val="24"/>
        </w:rPr>
      </w:pPr>
      <w:r w:rsidRPr="00E63848">
        <w:rPr>
          <w:sz w:val="24"/>
        </w:rPr>
        <w:t>nonstationary reinforcement learning》同样探讨了非平稳需求下的库存控制问</w:t>
      </w:r>
    </w:p>
    <w:p w14:paraId="54C35DC9" w14:textId="34D80079" w:rsidR="00E63848" w:rsidRPr="00E63848" w:rsidRDefault="006578AF" w:rsidP="00E63848">
      <w:pPr>
        <w:spacing w:before="120" w:after="120" w:line="288" w:lineRule="auto"/>
        <w:rPr>
          <w:sz w:val="24"/>
        </w:rPr>
      </w:pPr>
      <w:r w:rsidRPr="00E63848">
        <w:rPr>
          <w:sz w:val="24"/>
        </w:rPr>
        <w:t>题。</w:t>
      </w:r>
      <w:r w:rsidRPr="004A7CA1">
        <w:rPr>
          <w:color w:val="FF0000"/>
          <w:sz w:val="24"/>
        </w:rPr>
        <w:t>该研究指出，当面临分布随时间变化（如季节性波动）的库存系统时，如果不将时间或相关上下文变量引入状态，将无法保证算法的后悔界（Regret Bound）收敛。</w:t>
      </w:r>
      <w:r w:rsidR="00E63848" w:rsidRPr="004A7CA1">
        <w:rPr>
          <w:rFonts w:hint="eastAsia"/>
          <w:color w:val="FF0000"/>
          <w:sz w:val="24"/>
        </w:rPr>
        <w:t>（</w:t>
      </w:r>
      <w:r w:rsidR="00E63848" w:rsidRPr="004A7CA1">
        <w:rPr>
          <w:color w:val="FF0000"/>
          <w:sz w:val="24"/>
        </w:rPr>
        <w:t>若状态不含时间戳、时序上下文，算法无记忆区分不同阶段环境：环境是非平稳的（奖励、分布随时间变化），没有时间标记就无法识别环境漂移；无法量化 “过去多久的样本更可信”，不能做时序加权、遗忘旧无效数据；不能区分</w:t>
      </w:r>
      <w:r w:rsidR="00E63848" w:rsidRPr="004A7CA1">
        <w:rPr>
          <w:color w:val="FF0000"/>
          <w:sz w:val="28"/>
          <w:szCs w:val="28"/>
        </w:rPr>
        <w:t>重复出现但时序意义不同的相同观测，重复踩同类损失。</w:t>
      </w:r>
      <w:r w:rsidR="00E63848" w:rsidRPr="004A7CA1">
        <w:rPr>
          <w:rFonts w:hint="eastAsia"/>
          <w:color w:val="FF0000"/>
          <w:sz w:val="28"/>
          <w:szCs w:val="28"/>
        </w:rPr>
        <w:t>）</w:t>
      </w:r>
    </w:p>
    <w:p w14:paraId="2C0255BA" w14:textId="6A7D090E" w:rsidR="00E63848" w:rsidRPr="00E63848" w:rsidRDefault="006578AF" w:rsidP="00E63848">
      <w:pPr>
        <w:spacing w:before="120" w:after="120" w:line="288" w:lineRule="auto"/>
        <w:rPr>
          <w:sz w:val="24"/>
        </w:rPr>
      </w:pPr>
      <w:r w:rsidRPr="00E63848">
        <w:rPr>
          <w:sz w:val="24"/>
        </w:rPr>
        <w:t>总结而言，面对“回合有固定终点”或“环境规律随时间变化”的强化学习论文，</w:t>
      </w:r>
      <w:r w:rsidR="00E63848" w:rsidRPr="00E63848">
        <w:rPr>
          <w:rFonts w:hint="eastAsia"/>
          <w:sz w:val="24"/>
        </w:rPr>
        <w:t>很多</w:t>
      </w:r>
      <w:r w:rsidRPr="00E63848">
        <w:rPr>
          <w:sz w:val="24"/>
        </w:rPr>
        <w:t>会采用将时间 t 拼接入每一步观测状态的方案。</w:t>
      </w:r>
    </w:p>
    <w:p w14:paraId="36ECDCBB" w14:textId="77777777" w:rsidR="0036516A" w:rsidRDefault="0036516A" w:rsidP="0036516A">
      <w:pPr>
        <w:spacing w:before="120" w:after="60" w:line="360" w:lineRule="auto"/>
      </w:pPr>
      <w:proofErr w:type="spellStart"/>
      <w:r>
        <w:rPr>
          <w:rFonts w:ascii="黑体" w:eastAsia="黑体" w:hAnsi="黑体"/>
          <w:b/>
          <w:sz w:val="24"/>
        </w:rPr>
        <w:t>Dehaybe</w:t>
      </w:r>
      <w:proofErr w:type="spellEnd"/>
      <w:r>
        <w:rPr>
          <w:rFonts w:ascii="黑体" w:eastAsia="黑体" w:hAnsi="黑体"/>
          <w:b/>
          <w:sz w:val="24"/>
        </w:rPr>
        <w:t>等（2023）：需求预测嵌入状态</w:t>
      </w:r>
    </w:p>
    <w:p w14:paraId="37DCBE96" w14:textId="5C49CA35" w:rsidR="0036516A" w:rsidRDefault="0036516A" w:rsidP="0036516A">
      <w:pPr>
        <w:spacing w:after="60" w:line="360" w:lineRule="auto"/>
        <w:ind w:firstLine="480"/>
        <w:jc w:val="both"/>
      </w:pPr>
      <w:proofErr w:type="spellStart"/>
      <w:r>
        <w:rPr>
          <w:rFonts w:ascii="宋体" w:eastAsia="宋体" w:hAnsi="宋体"/>
          <w:sz w:val="24"/>
        </w:rPr>
        <w:t>Dehaybe</w:t>
      </w:r>
      <w:proofErr w:type="spellEnd"/>
      <w:r>
        <w:rPr>
          <w:rFonts w:ascii="宋体" w:eastAsia="宋体" w:hAnsi="宋体"/>
          <w:sz w:val="24"/>
        </w:rPr>
        <w:t>, Catanzaro与Chevalier（2023）</w:t>
      </w:r>
      <w:r w:rsidR="004A7CA1">
        <w:rPr>
          <w:rFonts w:ascii="宋体" w:eastAsia="宋体" w:hAnsi="宋体" w:hint="eastAsia"/>
          <w:sz w:val="24"/>
        </w:rPr>
        <w:t xml:space="preserve"> </w:t>
      </w:r>
      <w:r>
        <w:rPr>
          <w:rFonts w:ascii="宋体" w:eastAsia="宋体" w:hAnsi="宋体"/>
          <w:sz w:val="24"/>
        </w:rPr>
        <w:t>《European Journal of Operational Research》</w:t>
      </w:r>
      <w:r w:rsidR="004A7CA1">
        <w:rPr>
          <w:rFonts w:ascii="宋体" w:eastAsia="宋体" w:hAnsi="宋体" w:hint="eastAsia"/>
          <w:sz w:val="24"/>
        </w:rPr>
        <w:t xml:space="preserve"> </w:t>
      </w:r>
      <w:r>
        <w:rPr>
          <w:rFonts w:ascii="宋体" w:eastAsia="宋体" w:hAnsi="宋体"/>
          <w:sz w:val="24"/>
        </w:rPr>
        <w:t>论文《Deep Reinforcement Learning for inventory optimization with non-stationary uncertain demand》，专门研究非平稳需求下的DRL库存优化问题。</w:t>
      </w:r>
    </w:p>
    <w:p w14:paraId="2A88535D" w14:textId="77777777" w:rsidR="0036516A" w:rsidRDefault="0036516A" w:rsidP="0036516A">
      <w:pPr>
        <w:spacing w:after="60" w:line="360" w:lineRule="auto"/>
        <w:ind w:firstLine="480"/>
        <w:jc w:val="both"/>
      </w:pPr>
      <w:r>
        <w:rPr>
          <w:rFonts w:ascii="宋体" w:eastAsia="宋体" w:hAnsi="宋体"/>
          <w:sz w:val="24"/>
        </w:rPr>
        <w:t>该论文明确将未来H期的需求预测参数嵌入状态空间，其状态向量为：</w:t>
      </w:r>
    </w:p>
    <w:p w14:paraId="4AF2EC94" w14:textId="77777777" w:rsidR="0036516A" w:rsidRDefault="0036516A" w:rsidP="0036516A">
      <w:pPr>
        <w:spacing w:before="120" w:after="120"/>
        <w:jc w:val="center"/>
      </w:pPr>
      <w:r>
        <w:rPr>
          <w:rFonts w:ascii="Times New Roman" w:eastAsia="Times New Roman" w:hAnsi="Times New Roman"/>
          <w:i/>
          <w:sz w:val="24"/>
        </w:rPr>
        <w:t>xₜ = (M(Dₜ), M(Dₜ₊₁), ..., M(Dₜ₊ₕ₋₁), zₜ, qₜ₋ₗ, ..., qₜ₋₁)</w:t>
      </w:r>
    </w:p>
    <w:p w14:paraId="646AC2C7" w14:textId="77777777" w:rsidR="0036516A" w:rsidRDefault="0036516A" w:rsidP="0036516A">
      <w:pPr>
        <w:spacing w:after="60" w:line="360" w:lineRule="auto"/>
        <w:ind w:firstLine="480"/>
        <w:jc w:val="both"/>
      </w:pPr>
      <w:r>
        <w:rPr>
          <w:rFonts w:ascii="宋体" w:eastAsia="宋体" w:hAnsi="宋体"/>
          <w:sz w:val="24"/>
        </w:rPr>
        <w:t>其中M(D)返回描述需求分布D所需的参数（如正态分布的均值和标准差），H为预测窗口长度。</w:t>
      </w:r>
    </w:p>
    <w:p w14:paraId="6EBF4467" w14:textId="15DF2B73" w:rsidR="0036516A" w:rsidRDefault="0036516A" w:rsidP="0036516A">
      <w:pPr>
        <w:spacing w:after="60" w:line="360" w:lineRule="auto"/>
        <w:ind w:firstLine="480"/>
        <w:jc w:val="both"/>
      </w:pPr>
      <w:r>
        <w:rPr>
          <w:rFonts w:ascii="宋体" w:eastAsia="宋体" w:hAnsi="宋体"/>
          <w:sz w:val="24"/>
        </w:rPr>
        <w:t>这一做法的本质通过在状态中加入时间依赖的需求信息，使扩展后的MDP</w:t>
      </w:r>
      <w:r>
        <w:rPr>
          <w:rFonts w:ascii="宋体" w:eastAsia="宋体" w:hAnsi="宋体"/>
          <w:sz w:val="24"/>
        </w:rPr>
        <w:lastRenderedPageBreak/>
        <w:t>重新满足马尔可夫性。区别在于，</w:t>
      </w:r>
      <w:proofErr w:type="spellStart"/>
      <w:r>
        <w:rPr>
          <w:rFonts w:ascii="宋体" w:eastAsia="宋体" w:hAnsi="宋体"/>
          <w:sz w:val="24"/>
        </w:rPr>
        <w:t>Dehaybe</w:t>
      </w:r>
      <w:proofErr w:type="spellEnd"/>
      <w:r>
        <w:rPr>
          <w:rFonts w:ascii="宋体" w:eastAsia="宋体" w:hAnsi="宋体"/>
          <w:sz w:val="24"/>
        </w:rPr>
        <w:t>等（2023）采用的是显式需求预测的方式，直接将未来每一期的需求分布参数放入状态；而本文采用的是周期编码的方式，通过三角函数告诉智能体当前处于周期的什么位置，智能体可以据此推断需求水平。</w:t>
      </w:r>
    </w:p>
    <w:p w14:paraId="3AB003C7" w14:textId="77777777" w:rsidR="0036516A" w:rsidRDefault="0036516A" w:rsidP="0036516A">
      <w:pPr>
        <w:spacing w:after="60" w:line="360" w:lineRule="auto"/>
        <w:ind w:firstLine="480"/>
        <w:jc w:val="both"/>
      </w:pPr>
      <w:proofErr w:type="spellStart"/>
      <w:r>
        <w:rPr>
          <w:rFonts w:ascii="宋体" w:eastAsia="宋体" w:hAnsi="宋体"/>
          <w:sz w:val="24"/>
        </w:rPr>
        <w:t>Dehaybe</w:t>
      </w:r>
      <w:proofErr w:type="spellEnd"/>
      <w:r>
        <w:rPr>
          <w:rFonts w:ascii="宋体" w:eastAsia="宋体" w:hAnsi="宋体"/>
          <w:sz w:val="24"/>
        </w:rPr>
        <w:t>等（2023）在多种非平稳需求场景下（包括线性增长、线性下降、正弦季节性波动等）验证了该方法的有效性，证明DRL智能体能够学习到接近动态规划最优解的补货策略。</w:t>
      </w:r>
    </w:p>
    <w:p w14:paraId="0D8DB367" w14:textId="77777777" w:rsidR="0036516A" w:rsidRDefault="0036516A" w:rsidP="0036516A">
      <w:pPr>
        <w:spacing w:before="120" w:after="60" w:line="360" w:lineRule="auto"/>
      </w:pPr>
      <w:r>
        <w:rPr>
          <w:rFonts w:ascii="黑体" w:eastAsia="黑体" w:hAnsi="黑体"/>
          <w:b/>
          <w:sz w:val="24"/>
        </w:rPr>
        <w:t xml:space="preserve">3.4.2  </w:t>
      </w:r>
      <w:proofErr w:type="spellStart"/>
      <w:r>
        <w:rPr>
          <w:rFonts w:ascii="黑体" w:eastAsia="黑体" w:hAnsi="黑体"/>
          <w:b/>
          <w:sz w:val="24"/>
        </w:rPr>
        <w:t>Maggiar</w:t>
      </w:r>
      <w:proofErr w:type="spellEnd"/>
      <w:r>
        <w:rPr>
          <w:rFonts w:ascii="黑体" w:eastAsia="黑体" w:hAnsi="黑体"/>
          <w:b/>
          <w:sz w:val="24"/>
        </w:rPr>
        <w:t>等（2025）：时间距离作为状态特征</w:t>
      </w:r>
    </w:p>
    <w:p w14:paraId="10281C2F" w14:textId="77777777" w:rsidR="0036516A" w:rsidRDefault="0036516A" w:rsidP="0036516A">
      <w:pPr>
        <w:spacing w:after="60" w:line="360" w:lineRule="auto"/>
        <w:ind w:firstLine="480"/>
        <w:jc w:val="both"/>
      </w:pPr>
      <w:proofErr w:type="spellStart"/>
      <w:r>
        <w:rPr>
          <w:rFonts w:ascii="宋体" w:eastAsia="宋体" w:hAnsi="宋体"/>
          <w:sz w:val="24"/>
        </w:rPr>
        <w:t>Maggiar</w:t>
      </w:r>
      <w:proofErr w:type="spellEnd"/>
      <w:r>
        <w:rPr>
          <w:rFonts w:ascii="宋体" w:eastAsia="宋体" w:hAnsi="宋体"/>
          <w:sz w:val="24"/>
        </w:rPr>
        <w:t>等（2025）在论文《Structure-Informed Deep Reinforcement Learning for Inventory Management》中，研究了真实零售数据下的DRL库存优化。在处理圣诞节等季节性高峰时，他们明确将"距离下一个圣诞节的周数"作为时间序列特征放入状态向量：</w:t>
      </w:r>
    </w:p>
    <w:p w14:paraId="6DCDFF87" w14:textId="77777777" w:rsidR="0036516A" w:rsidRDefault="0036516A" w:rsidP="0036516A">
      <w:pPr>
        <w:spacing w:before="120" w:after="120"/>
        <w:jc w:val="center"/>
      </w:pPr>
      <w:r>
        <w:rPr>
          <w:rFonts w:ascii="Times New Roman" w:eastAsia="Times New Roman" w:hAnsi="Times New Roman"/>
          <w:i/>
          <w:sz w:val="24"/>
        </w:rPr>
        <w:t>xₜ = (dₜ₋ₕ, ..., dₜ₋₁, δₜ₋ₕ, ..., δₜ₋₁)</w:t>
      </w:r>
    </w:p>
    <w:p w14:paraId="12D0D0B0" w14:textId="77777777" w:rsidR="0036516A" w:rsidRDefault="0036516A" w:rsidP="0036516A">
      <w:pPr>
        <w:spacing w:after="60" w:line="360" w:lineRule="auto"/>
        <w:ind w:firstLine="480"/>
        <w:jc w:val="both"/>
      </w:pPr>
      <w:r>
        <w:rPr>
          <w:rFonts w:ascii="宋体" w:eastAsia="宋体" w:hAnsi="宋体"/>
          <w:sz w:val="24"/>
        </w:rPr>
        <w:t>其中δ</w:t>
      </w:r>
      <w:r>
        <w:rPr>
          <w:rFonts w:ascii="Segoe UI Symbol" w:eastAsia="宋体" w:hAnsi="Segoe UI Symbol" w:cs="Segoe UI Symbol"/>
          <w:sz w:val="24"/>
        </w:rPr>
        <w:t>ₛ</w:t>
      </w:r>
      <w:r>
        <w:rPr>
          <w:rFonts w:ascii="宋体" w:eastAsia="宋体" w:hAnsi="宋体"/>
          <w:sz w:val="24"/>
        </w:rPr>
        <w:t>为第s期距离下一个圣诞节的周数。</w:t>
      </w:r>
    </w:p>
    <w:p w14:paraId="6FE29FF7" w14:textId="2D92863D" w:rsidR="0036516A" w:rsidRDefault="0036516A" w:rsidP="0036516A">
      <w:pPr>
        <w:spacing w:after="60" w:line="360" w:lineRule="auto"/>
        <w:ind w:firstLine="480"/>
        <w:jc w:val="both"/>
      </w:pPr>
      <w:r>
        <w:rPr>
          <w:rFonts w:ascii="宋体" w:eastAsia="宋体" w:hAnsi="宋体"/>
          <w:sz w:val="24"/>
        </w:rPr>
        <w:t>这一做法体现了"把时间放入状态"的思想。距离圣诞节的周数本质上就是一种时间编码，它告诉智能体当前距离季节性高峰还有多远，从而帮助智能体做出前瞻性的库存决策。</w:t>
      </w:r>
    </w:p>
    <w:p w14:paraId="641FB120" w14:textId="77777777" w:rsidR="0036516A" w:rsidRDefault="0036516A" w:rsidP="0036516A">
      <w:pPr>
        <w:spacing w:before="120" w:after="60" w:line="360" w:lineRule="auto"/>
      </w:pPr>
      <w:r>
        <w:rPr>
          <w:rFonts w:ascii="黑体" w:eastAsia="黑体" w:hAnsi="黑体"/>
          <w:b/>
          <w:sz w:val="24"/>
        </w:rPr>
        <w:t>3.4.3  易腐品库存：剩余货架寿命作为状态</w:t>
      </w:r>
    </w:p>
    <w:p w14:paraId="2EDB1622" w14:textId="77777777" w:rsidR="0036516A" w:rsidRDefault="0036516A" w:rsidP="0036516A">
      <w:pPr>
        <w:spacing w:after="60" w:line="360" w:lineRule="auto"/>
        <w:ind w:firstLine="480"/>
        <w:jc w:val="both"/>
      </w:pPr>
      <w:r>
        <w:rPr>
          <w:rFonts w:ascii="宋体" w:eastAsia="宋体" w:hAnsi="宋体"/>
          <w:sz w:val="24"/>
        </w:rPr>
        <w:t>在易腐品库存管理的DRL研究中，将"剩余货架寿命"或"库存年龄"放入状态是标准做法。例如，Wang等（2021）在研究易腐品的联合定价与库存控制时，状态空间中明确包含了不同年龄批次的库存数量。</w:t>
      </w:r>
    </w:p>
    <w:p w14:paraId="25ECD358" w14:textId="77777777" w:rsidR="0036516A" w:rsidRDefault="0036516A" w:rsidP="0036516A">
      <w:pPr>
        <w:spacing w:after="60" w:line="360" w:lineRule="auto"/>
        <w:ind w:firstLine="480"/>
        <w:jc w:val="both"/>
      </w:pPr>
      <w:r>
        <w:rPr>
          <w:rFonts w:ascii="宋体" w:eastAsia="宋体" w:hAnsi="宋体"/>
          <w:sz w:val="24"/>
        </w:rPr>
        <w:t>剩余货架寿命本质上也是一种时间信息，它反映了库存已经存放了多久、还能存放多久。这种时间信息对于易腐品的库存决策至关重要，因为不同年龄的库存具有不同的贬值速度与缺货风险。</w:t>
      </w:r>
    </w:p>
    <w:p w14:paraId="0974AB44" w14:textId="77777777" w:rsidR="0036516A" w:rsidRDefault="0036516A" w:rsidP="0036516A">
      <w:pPr>
        <w:spacing w:after="60" w:line="360" w:lineRule="auto"/>
        <w:ind w:firstLine="480"/>
        <w:jc w:val="both"/>
      </w:pPr>
      <w:r>
        <w:rPr>
          <w:rFonts w:ascii="宋体" w:eastAsia="宋体" w:hAnsi="宋体"/>
          <w:sz w:val="24"/>
        </w:rPr>
        <w:t>虽然易腐品的时间信息是针对库存批次的，而本文的时间信息是针对全局规划期的，但两者的底层逻辑是一致的：时间是影响决策的重要因素，必须在状态中予以体现。</w:t>
      </w:r>
    </w:p>
    <w:p w14:paraId="161EBF7E" w14:textId="2408D4E4" w:rsidR="006578AF" w:rsidRPr="0036516A" w:rsidRDefault="006578AF" w:rsidP="006578AF">
      <w:pPr>
        <w:spacing w:before="120" w:after="120" w:line="288" w:lineRule="auto"/>
      </w:pPr>
    </w:p>
    <w:p w14:paraId="2212BBDF" w14:textId="77777777" w:rsidR="00E63848" w:rsidRDefault="00E63848" w:rsidP="006578AF">
      <w:pPr>
        <w:spacing w:before="120" w:after="120" w:line="288" w:lineRule="auto"/>
      </w:pPr>
    </w:p>
    <w:p w14:paraId="6E06DB58" w14:textId="77777777" w:rsidR="00E63848" w:rsidRDefault="00E63848" w:rsidP="006578AF">
      <w:pPr>
        <w:spacing w:before="120" w:after="120" w:line="288" w:lineRule="auto"/>
      </w:pPr>
    </w:p>
    <w:p w14:paraId="2F3227DF" w14:textId="77777777" w:rsidR="00E63848" w:rsidRDefault="00E63848" w:rsidP="006578AF">
      <w:pPr>
        <w:spacing w:before="120" w:after="120" w:line="288" w:lineRule="auto"/>
      </w:pPr>
    </w:p>
    <w:p w14:paraId="0753EEF7" w14:textId="77777777" w:rsidR="00E63848" w:rsidRDefault="00E63848" w:rsidP="006578AF">
      <w:pPr>
        <w:spacing w:before="120" w:after="120" w:line="288" w:lineRule="auto"/>
      </w:pPr>
    </w:p>
    <w:p w14:paraId="2845EC47" w14:textId="77777777" w:rsidR="00E63848" w:rsidRDefault="00E63848" w:rsidP="006578AF">
      <w:pPr>
        <w:spacing w:before="120" w:after="120" w:line="288" w:lineRule="auto"/>
      </w:pPr>
    </w:p>
    <w:p w14:paraId="414F6E2C" w14:textId="77777777" w:rsidR="00E63848" w:rsidRDefault="00E63848" w:rsidP="006578AF">
      <w:pPr>
        <w:spacing w:before="120" w:after="120" w:line="288" w:lineRule="auto"/>
      </w:pPr>
    </w:p>
    <w:p w14:paraId="4EDB5AC0" w14:textId="77777777" w:rsidR="00E63848" w:rsidRDefault="00E63848" w:rsidP="006578AF">
      <w:pPr>
        <w:spacing w:before="120" w:after="120" w:line="288" w:lineRule="auto"/>
      </w:pPr>
    </w:p>
    <w:p w14:paraId="6A740D63" w14:textId="77777777" w:rsidR="0036516A" w:rsidRDefault="0036516A" w:rsidP="006578AF">
      <w:pPr>
        <w:spacing w:before="120" w:after="120" w:line="288" w:lineRule="auto"/>
      </w:pPr>
    </w:p>
    <w:p w14:paraId="0AE36F52" w14:textId="77777777" w:rsidR="0036516A" w:rsidRDefault="0036516A" w:rsidP="006578AF">
      <w:pPr>
        <w:spacing w:before="120" w:after="120" w:line="288" w:lineRule="auto"/>
      </w:pPr>
    </w:p>
    <w:p w14:paraId="726019CB" w14:textId="77777777" w:rsidR="0036516A" w:rsidRDefault="0036516A" w:rsidP="006578AF">
      <w:pPr>
        <w:spacing w:before="120" w:after="120" w:line="288" w:lineRule="auto"/>
      </w:pPr>
    </w:p>
    <w:p w14:paraId="4F4F43A7" w14:textId="77777777" w:rsidR="0036516A" w:rsidRDefault="0036516A" w:rsidP="006578AF">
      <w:pPr>
        <w:spacing w:before="120" w:after="120" w:line="288" w:lineRule="auto"/>
      </w:pPr>
    </w:p>
    <w:p w14:paraId="5DA749F7" w14:textId="77777777" w:rsidR="0036516A" w:rsidRDefault="0036516A" w:rsidP="006578AF">
      <w:pPr>
        <w:spacing w:before="120" w:after="120" w:line="288" w:lineRule="auto"/>
      </w:pPr>
    </w:p>
    <w:p w14:paraId="675BDDE5" w14:textId="77777777" w:rsidR="0036516A" w:rsidRDefault="0036516A" w:rsidP="006578AF">
      <w:pPr>
        <w:spacing w:before="120" w:after="120" w:line="288" w:lineRule="auto"/>
      </w:pPr>
    </w:p>
    <w:p w14:paraId="5871A1DA" w14:textId="77777777" w:rsidR="0036516A" w:rsidRDefault="0036516A" w:rsidP="006578AF">
      <w:pPr>
        <w:spacing w:before="120" w:after="120" w:line="288" w:lineRule="auto"/>
      </w:pPr>
    </w:p>
    <w:p w14:paraId="32BA0A4D" w14:textId="77777777" w:rsidR="0036516A" w:rsidRDefault="0036516A" w:rsidP="006578AF">
      <w:pPr>
        <w:spacing w:before="120" w:after="120" w:line="288" w:lineRule="auto"/>
      </w:pPr>
    </w:p>
    <w:p w14:paraId="345ED78C" w14:textId="77777777" w:rsidR="0036516A" w:rsidRDefault="0036516A" w:rsidP="006578AF">
      <w:pPr>
        <w:spacing w:before="120" w:after="120" w:line="288" w:lineRule="auto"/>
      </w:pPr>
    </w:p>
    <w:p w14:paraId="06834A11" w14:textId="77777777" w:rsidR="0036516A" w:rsidRDefault="0036516A" w:rsidP="006578AF">
      <w:pPr>
        <w:spacing w:before="120" w:after="120" w:line="288" w:lineRule="auto"/>
      </w:pPr>
    </w:p>
    <w:p w14:paraId="7525454D" w14:textId="77777777" w:rsidR="0036516A" w:rsidRDefault="0036516A" w:rsidP="006578AF">
      <w:pPr>
        <w:spacing w:before="120" w:after="120" w:line="288" w:lineRule="auto"/>
      </w:pPr>
    </w:p>
    <w:p w14:paraId="0EC53515" w14:textId="77777777" w:rsidR="0036516A" w:rsidRDefault="0036516A" w:rsidP="006578AF">
      <w:pPr>
        <w:spacing w:before="120" w:after="120" w:line="288" w:lineRule="auto"/>
      </w:pPr>
    </w:p>
    <w:p w14:paraId="087B92E7" w14:textId="77777777" w:rsidR="0036516A" w:rsidRDefault="0036516A" w:rsidP="006578AF">
      <w:pPr>
        <w:spacing w:before="120" w:after="120" w:line="288" w:lineRule="auto"/>
      </w:pPr>
    </w:p>
    <w:p w14:paraId="548F12F0" w14:textId="77777777" w:rsidR="0036516A" w:rsidRDefault="0036516A" w:rsidP="006578AF">
      <w:pPr>
        <w:spacing w:before="120" w:after="120" w:line="288" w:lineRule="auto"/>
      </w:pPr>
    </w:p>
    <w:p w14:paraId="2F6BB653" w14:textId="77777777" w:rsidR="0036516A" w:rsidRDefault="0036516A" w:rsidP="006578AF">
      <w:pPr>
        <w:spacing w:before="120" w:after="120" w:line="288" w:lineRule="auto"/>
      </w:pPr>
    </w:p>
    <w:p w14:paraId="3F02EEA0" w14:textId="77777777" w:rsidR="0036516A" w:rsidRDefault="0036516A" w:rsidP="006578AF">
      <w:pPr>
        <w:spacing w:before="120" w:after="120" w:line="288" w:lineRule="auto"/>
      </w:pPr>
    </w:p>
    <w:p w14:paraId="261DA0ED" w14:textId="77777777" w:rsidR="0036516A" w:rsidRDefault="0036516A" w:rsidP="006578AF">
      <w:pPr>
        <w:spacing w:before="120" w:after="120" w:line="288" w:lineRule="auto"/>
      </w:pPr>
    </w:p>
    <w:p w14:paraId="20FCF89C" w14:textId="77777777" w:rsidR="004A7CA1" w:rsidRDefault="004A7CA1" w:rsidP="006578AF">
      <w:pPr>
        <w:spacing w:before="120" w:after="120" w:line="288" w:lineRule="auto"/>
      </w:pPr>
    </w:p>
    <w:p w14:paraId="079C9449" w14:textId="77777777" w:rsidR="004A7CA1" w:rsidRDefault="004A7CA1" w:rsidP="006578AF">
      <w:pPr>
        <w:spacing w:before="120" w:after="120" w:line="288" w:lineRule="auto"/>
      </w:pPr>
    </w:p>
    <w:p w14:paraId="74D06C10" w14:textId="77777777" w:rsidR="004A7CA1" w:rsidRDefault="004A7CA1" w:rsidP="006578AF">
      <w:pPr>
        <w:spacing w:before="120" w:after="120" w:line="288" w:lineRule="auto"/>
        <w:rPr>
          <w:rFonts w:hint="eastAsia"/>
        </w:rPr>
      </w:pPr>
    </w:p>
    <w:p w14:paraId="54F63D3D" w14:textId="77777777" w:rsidR="0036516A" w:rsidRDefault="0036516A" w:rsidP="006578AF">
      <w:pPr>
        <w:spacing w:before="120" w:after="120" w:line="288" w:lineRule="auto"/>
        <w:rPr>
          <w:rFonts w:hint="eastAsia"/>
        </w:rPr>
      </w:pPr>
    </w:p>
    <w:p w14:paraId="290EF973" w14:textId="77777777" w:rsidR="00E63848" w:rsidRDefault="00E63848" w:rsidP="006578AF">
      <w:pPr>
        <w:spacing w:before="120" w:after="120" w:line="288" w:lineRule="auto"/>
      </w:pPr>
    </w:p>
    <w:p w14:paraId="489B5EC0" w14:textId="26018434" w:rsidR="00AE4B3B" w:rsidRPr="0036516A" w:rsidRDefault="00AE4B3B" w:rsidP="004A7CA1">
      <w:pPr>
        <w:rPr>
          <w:rFonts w:ascii="黑体" w:eastAsia="黑体" w:hAnsi="黑体"/>
          <w:b/>
          <w:sz w:val="44"/>
        </w:rPr>
      </w:pPr>
      <w:r>
        <w:rPr>
          <w:rFonts w:ascii="黑体" w:eastAsia="黑体" w:hAnsi="黑体"/>
          <w:b/>
          <w:sz w:val="44"/>
        </w:rPr>
        <w:lastRenderedPageBreak/>
        <w:t>有限步马尔可夫决策过程与时间状态编码的理论分析</w:t>
      </w:r>
      <w:r w:rsidR="004A7CA1">
        <w:rPr>
          <w:rFonts w:ascii="黑体" w:eastAsia="黑体" w:hAnsi="黑体" w:hint="eastAsia"/>
          <w:b/>
          <w:sz w:val="44"/>
        </w:rPr>
        <w:t>：</w:t>
      </w:r>
    </w:p>
    <w:p w14:paraId="0B8EB51C" w14:textId="77777777" w:rsidR="00AE4B3B" w:rsidRDefault="00AE4B3B" w:rsidP="004A7CA1"/>
    <w:p w14:paraId="033D0F25" w14:textId="7ACEA0F6" w:rsidR="00AE4B3B" w:rsidRDefault="00AE4B3B" w:rsidP="004A7CA1">
      <w:pPr>
        <w:rPr>
          <w:rFonts w:hint="eastAsia"/>
        </w:rPr>
      </w:pPr>
      <w:r>
        <w:rPr>
          <w:rFonts w:ascii="黑体" w:eastAsia="黑体" w:hAnsi="黑体"/>
          <w:sz w:val="28"/>
        </w:rPr>
        <w:t>基于双源采购与季节性需求扩展的DRL库存优化模型</w:t>
      </w:r>
    </w:p>
    <w:p w14:paraId="08383FCF" w14:textId="134EDDDB" w:rsidR="00AE4B3B" w:rsidRDefault="00AE4B3B" w:rsidP="004C2C04">
      <w:pPr>
        <w:spacing w:after="60" w:line="360" w:lineRule="auto"/>
        <w:ind w:firstLine="480"/>
        <w:jc w:val="both"/>
      </w:pPr>
      <w:r>
        <w:rPr>
          <w:rFonts w:ascii="宋体" w:eastAsia="宋体" w:hAnsi="宋体"/>
          <w:sz w:val="24"/>
        </w:rPr>
        <w:t>在基准的全有或全无良率库存优化模型基础上，本文扩展引入了双源采购机制与季节性需求特征。双源采购机制通过常规渠道与应急渠道的组合，在成本与响应速度之间寻求平衡；季节性需求特征则更贴近药品等具有周期性波动的实际需求场景。</w:t>
      </w:r>
    </w:p>
    <w:p w14:paraId="70F48DBC" w14:textId="23397A29" w:rsidR="00AE4B3B" w:rsidRDefault="00AE4B3B" w:rsidP="00AE4B3B">
      <w:pPr>
        <w:spacing w:before="240" w:after="120" w:line="360" w:lineRule="auto"/>
      </w:pPr>
      <w:r>
        <w:rPr>
          <w:rFonts w:ascii="黑体" w:eastAsia="黑体" w:hAnsi="黑体"/>
          <w:b/>
          <w:sz w:val="28"/>
        </w:rPr>
        <w:t>本文扩展模型概述</w:t>
      </w:r>
    </w:p>
    <w:p w14:paraId="70EE6592" w14:textId="77777777" w:rsidR="00AE4B3B" w:rsidRDefault="00AE4B3B" w:rsidP="00AE4B3B">
      <w:pPr>
        <w:spacing w:after="60" w:line="360" w:lineRule="auto"/>
        <w:ind w:firstLine="480"/>
        <w:jc w:val="both"/>
      </w:pPr>
      <w:r>
        <w:rPr>
          <w:rFonts w:ascii="宋体" w:eastAsia="宋体" w:hAnsi="宋体"/>
          <w:sz w:val="24"/>
        </w:rPr>
        <w:t>本文所讨论的扩展模型在基准单源全有或全无良率库存模型的基础上，主要进行了以下两方面的扩展：</w:t>
      </w:r>
    </w:p>
    <w:p w14:paraId="04BB910C" w14:textId="53A1D587" w:rsidR="00AE4B3B" w:rsidRDefault="00AE4B3B" w:rsidP="00AE4B3B">
      <w:pPr>
        <w:spacing w:after="60" w:line="360" w:lineRule="auto"/>
        <w:ind w:firstLine="480"/>
        <w:jc w:val="both"/>
      </w:pPr>
      <w:r>
        <w:rPr>
          <w:rFonts w:ascii="宋体" w:eastAsia="宋体" w:hAnsi="宋体"/>
          <w:sz w:val="24"/>
        </w:rPr>
        <w:t>（1）双源采购扩展：将单一供应商扩展为常规渠道与应急渠道的双源采购结构。</w:t>
      </w:r>
    </w:p>
    <w:p w14:paraId="2AB82857" w14:textId="77777777" w:rsidR="00AE4B3B" w:rsidRDefault="00AE4B3B" w:rsidP="00AE4B3B">
      <w:pPr>
        <w:spacing w:after="60" w:line="360" w:lineRule="auto"/>
        <w:ind w:firstLine="480"/>
        <w:jc w:val="both"/>
      </w:pPr>
      <w:r>
        <w:rPr>
          <w:rFonts w:ascii="宋体" w:eastAsia="宋体" w:hAnsi="宋体"/>
          <w:sz w:val="24"/>
        </w:rPr>
        <w:t xml:space="preserve">（2）季节性需求扩展：将稳态需求扩展为具有正弦周期性波动的非平稳需求。需求均值随时间呈正弦变化：μ(t) = </w:t>
      </w:r>
      <w:proofErr w:type="spellStart"/>
      <w:r>
        <w:rPr>
          <w:rFonts w:ascii="宋体" w:eastAsia="宋体" w:hAnsi="宋体"/>
          <w:sz w:val="24"/>
        </w:rPr>
        <w:t>μ_base</w:t>
      </w:r>
      <w:proofErr w:type="spellEnd"/>
      <w:r>
        <w:rPr>
          <w:rFonts w:ascii="宋体" w:eastAsia="宋体" w:hAnsi="宋体"/>
          <w:sz w:val="24"/>
        </w:rPr>
        <w:t xml:space="preserve"> + </w:t>
      </w:r>
      <w:proofErr w:type="spellStart"/>
      <w:r>
        <w:rPr>
          <w:rFonts w:ascii="宋体" w:eastAsia="宋体" w:hAnsi="宋体"/>
          <w:sz w:val="24"/>
        </w:rPr>
        <w:t>A·sin</w:t>
      </w:r>
      <w:proofErr w:type="spellEnd"/>
      <w:r>
        <w:rPr>
          <w:rFonts w:ascii="宋体" w:eastAsia="宋体" w:hAnsi="宋体"/>
          <w:sz w:val="24"/>
        </w:rPr>
        <w:t>(2πt/τ)，其中</w:t>
      </w:r>
      <w:proofErr w:type="spellStart"/>
      <w:r>
        <w:rPr>
          <w:rFonts w:ascii="宋体" w:eastAsia="宋体" w:hAnsi="宋体"/>
          <w:sz w:val="24"/>
        </w:rPr>
        <w:t>μ_base</w:t>
      </w:r>
      <w:proofErr w:type="spellEnd"/>
      <w:r>
        <w:rPr>
          <w:rFonts w:ascii="宋体" w:eastAsia="宋体" w:hAnsi="宋体"/>
          <w:sz w:val="24"/>
        </w:rPr>
        <w:t xml:space="preserve">为基础需求均值，A为振幅，τ为周期长度。需求的标准差采用乘性形式：σ(t) = </w:t>
      </w:r>
      <w:proofErr w:type="spellStart"/>
      <w:r>
        <w:rPr>
          <w:rFonts w:ascii="宋体" w:eastAsia="宋体" w:hAnsi="宋体"/>
          <w:sz w:val="24"/>
        </w:rPr>
        <w:t>cv·μ</w:t>
      </w:r>
      <w:proofErr w:type="spellEnd"/>
      <w:r>
        <w:rPr>
          <w:rFonts w:ascii="宋体" w:eastAsia="宋体" w:hAnsi="宋体"/>
          <w:sz w:val="24"/>
        </w:rPr>
        <w:t>(t)，其中cv为变异系数。</w:t>
      </w:r>
    </w:p>
    <w:p w14:paraId="75F0672C" w14:textId="6F10445E" w:rsidR="00AE4B3B" w:rsidRDefault="00AE4B3B" w:rsidP="00AE4B3B">
      <w:pPr>
        <w:spacing w:after="60" w:line="360" w:lineRule="auto"/>
        <w:ind w:firstLine="480"/>
        <w:jc w:val="both"/>
        <w:rPr>
          <w:rFonts w:hint="eastAsia"/>
        </w:rPr>
      </w:pPr>
    </w:p>
    <w:p w14:paraId="708D5AA0" w14:textId="68879E0E" w:rsidR="00AE4B3B" w:rsidRDefault="00AE4B3B" w:rsidP="00AE4B3B">
      <w:pPr>
        <w:spacing w:before="360" w:after="240" w:line="360" w:lineRule="auto"/>
        <w:jc w:val="center"/>
      </w:pPr>
      <w:r>
        <w:rPr>
          <w:rFonts w:ascii="黑体" w:eastAsia="黑体" w:hAnsi="黑体"/>
          <w:b/>
          <w:sz w:val="32"/>
        </w:rPr>
        <w:t>有限步马尔可夫决策过程与步数分析</w:t>
      </w:r>
    </w:p>
    <w:p w14:paraId="79DA9013" w14:textId="77777777" w:rsidR="00AE4B3B" w:rsidRDefault="00AE4B3B" w:rsidP="00AE4B3B">
      <w:pPr>
        <w:spacing w:before="240" w:after="120" w:line="360" w:lineRule="auto"/>
      </w:pPr>
      <w:r>
        <w:rPr>
          <w:rFonts w:ascii="黑体" w:eastAsia="黑体" w:hAnsi="黑体"/>
          <w:b/>
          <w:sz w:val="28"/>
        </w:rPr>
        <w:t>2.1  MDP的基本定义与分类</w:t>
      </w:r>
    </w:p>
    <w:p w14:paraId="44B9EE1F" w14:textId="1B3D7631" w:rsidR="00AE4B3B" w:rsidRDefault="00AE4B3B" w:rsidP="00AE4B3B">
      <w:pPr>
        <w:spacing w:after="60" w:line="360" w:lineRule="auto"/>
        <w:ind w:firstLine="480"/>
        <w:jc w:val="both"/>
      </w:pPr>
      <w:r>
        <w:rPr>
          <w:rFonts w:ascii="宋体" w:eastAsia="宋体" w:hAnsi="宋体"/>
          <w:sz w:val="24"/>
        </w:rPr>
        <w:t>有限步MDP有限时域MDP，指决策过程在有限个时间步后终止的MDP。其目标函数通常为有限项求和的形式：</w:t>
      </w:r>
    </w:p>
    <w:p w14:paraId="2BF0FCAC" w14:textId="77777777" w:rsidR="00AE4B3B" w:rsidRDefault="00AE4B3B" w:rsidP="00AE4B3B">
      <w:pPr>
        <w:spacing w:before="120" w:after="120"/>
        <w:jc w:val="center"/>
      </w:pPr>
      <w:r>
        <w:rPr>
          <w:rFonts w:ascii="Times New Roman" w:eastAsia="Times New Roman" w:hAnsi="Times New Roman"/>
          <w:i/>
          <w:sz w:val="24"/>
        </w:rPr>
        <w:t xml:space="preserve">J(π) = </w:t>
      </w:r>
      <w:proofErr w:type="gramStart"/>
      <w:r>
        <w:rPr>
          <w:rFonts w:ascii="Times New Roman" w:eastAsia="Times New Roman" w:hAnsi="Times New Roman"/>
          <w:i/>
          <w:sz w:val="24"/>
        </w:rPr>
        <w:t>E[</w:t>
      </w:r>
      <w:proofErr w:type="gramEnd"/>
      <w:r>
        <w:rPr>
          <w:rFonts w:ascii="Times New Roman" w:eastAsia="Times New Roman" w:hAnsi="Times New Roman"/>
          <w:i/>
          <w:sz w:val="24"/>
        </w:rPr>
        <w:t xml:space="preserve"> </w:t>
      </w:r>
      <w:proofErr w:type="gramStart"/>
      <w:r>
        <w:rPr>
          <w:rFonts w:ascii="Times New Roman" w:eastAsia="Times New Roman" w:hAnsi="Times New Roman"/>
          <w:i/>
          <w:sz w:val="24"/>
        </w:rPr>
        <w:t>Σ(</w:t>
      </w:r>
      <w:proofErr w:type="gramEnd"/>
      <w:r>
        <w:rPr>
          <w:rFonts w:ascii="Times New Roman" w:eastAsia="Times New Roman" w:hAnsi="Times New Roman"/>
          <w:i/>
          <w:sz w:val="24"/>
        </w:rPr>
        <w:t xml:space="preserve">t=0 to T-1) γᵗ · </w:t>
      </w:r>
      <w:proofErr w:type="gramStart"/>
      <w:r>
        <w:rPr>
          <w:rFonts w:ascii="Times New Roman" w:eastAsia="Times New Roman" w:hAnsi="Times New Roman"/>
          <w:i/>
          <w:sz w:val="24"/>
        </w:rPr>
        <w:t>r(</w:t>
      </w:r>
      <w:proofErr w:type="gramEnd"/>
      <w:r>
        <w:rPr>
          <w:rFonts w:ascii="Times New Roman" w:eastAsia="Times New Roman" w:hAnsi="Times New Roman"/>
          <w:i/>
          <w:sz w:val="24"/>
        </w:rPr>
        <w:t xml:space="preserve">sₜ, aₜ) + γᵀ · </w:t>
      </w:r>
      <w:proofErr w:type="spellStart"/>
      <w:r>
        <w:rPr>
          <w:rFonts w:ascii="Times New Roman" w:eastAsia="Times New Roman" w:hAnsi="Times New Roman"/>
          <w:i/>
          <w:sz w:val="24"/>
        </w:rPr>
        <w:t>r_T</w:t>
      </w:r>
      <w:proofErr w:type="spellEnd"/>
      <w:r>
        <w:rPr>
          <w:rFonts w:ascii="Times New Roman" w:eastAsia="Times New Roman" w:hAnsi="Times New Roman"/>
          <w:i/>
          <w:sz w:val="24"/>
        </w:rPr>
        <w:t>(</w:t>
      </w:r>
      <w:proofErr w:type="spellStart"/>
      <w:r>
        <w:rPr>
          <w:rFonts w:ascii="Times New Roman" w:eastAsia="Times New Roman" w:hAnsi="Times New Roman"/>
          <w:i/>
          <w:sz w:val="24"/>
        </w:rPr>
        <w:t>s_T</w:t>
      </w:r>
      <w:proofErr w:type="spellEnd"/>
      <w:proofErr w:type="gramStart"/>
      <w:r>
        <w:rPr>
          <w:rFonts w:ascii="Times New Roman" w:eastAsia="Times New Roman" w:hAnsi="Times New Roman"/>
          <w:i/>
          <w:sz w:val="24"/>
        </w:rPr>
        <w:t>) ]</w:t>
      </w:r>
      <w:proofErr w:type="gramEnd"/>
    </w:p>
    <w:p w14:paraId="571A0B0E" w14:textId="35C75AE0" w:rsidR="00AE4B3B" w:rsidRDefault="00AE4B3B" w:rsidP="00AE4B3B">
      <w:pPr>
        <w:spacing w:after="60" w:line="360" w:lineRule="auto"/>
        <w:ind w:firstLine="480"/>
        <w:jc w:val="both"/>
      </w:pPr>
      <w:r>
        <w:rPr>
          <w:rFonts w:ascii="宋体" w:eastAsia="宋体" w:hAnsi="宋体"/>
          <w:sz w:val="24"/>
        </w:rPr>
        <w:t>其中T为规划期长度（即总步数），</w:t>
      </w:r>
      <w:proofErr w:type="spellStart"/>
      <w:r>
        <w:rPr>
          <w:rFonts w:ascii="宋体" w:eastAsia="宋体" w:hAnsi="宋体"/>
          <w:sz w:val="24"/>
        </w:rPr>
        <w:t>r_T</w:t>
      </w:r>
      <w:proofErr w:type="spellEnd"/>
      <w:r>
        <w:rPr>
          <w:rFonts w:ascii="宋体" w:eastAsia="宋体" w:hAnsi="宋体"/>
          <w:sz w:val="24"/>
        </w:rPr>
        <w:t>为终止奖励或残值。</w:t>
      </w:r>
    </w:p>
    <w:p w14:paraId="41725BA0" w14:textId="395C9C81" w:rsidR="00AE4B3B" w:rsidRDefault="00AE4B3B" w:rsidP="00AE4B3B">
      <w:pPr>
        <w:spacing w:before="240" w:after="120" w:line="360" w:lineRule="auto"/>
      </w:pPr>
      <w:r>
        <w:rPr>
          <w:rFonts w:ascii="黑体" w:eastAsia="黑体" w:hAnsi="黑体"/>
          <w:b/>
          <w:sz w:val="28"/>
        </w:rPr>
        <w:lastRenderedPageBreak/>
        <w:t xml:space="preserve">2.2  </w:t>
      </w:r>
      <w:r w:rsidR="004C2C04">
        <w:rPr>
          <w:rFonts w:ascii="黑体" w:eastAsia="黑体" w:hAnsi="黑体" w:hint="eastAsia"/>
          <w:b/>
          <w:sz w:val="28"/>
        </w:rPr>
        <w:t>这次扩展的</w:t>
      </w:r>
      <w:proofErr w:type="spellStart"/>
      <w:r w:rsidR="004C2C04">
        <w:rPr>
          <w:rFonts w:ascii="黑体" w:eastAsia="黑体" w:hAnsi="黑体" w:hint="eastAsia"/>
          <w:b/>
          <w:sz w:val="28"/>
        </w:rPr>
        <w:t>mdp</w:t>
      </w:r>
      <w:proofErr w:type="spellEnd"/>
    </w:p>
    <w:p w14:paraId="248687C6" w14:textId="378E4699" w:rsidR="00AE4B3B" w:rsidRDefault="00AE4B3B" w:rsidP="00AE4B3B">
      <w:pPr>
        <w:spacing w:before="120" w:after="60" w:line="360" w:lineRule="auto"/>
      </w:pPr>
      <w:r>
        <w:rPr>
          <w:rFonts w:ascii="黑体" w:eastAsia="黑体" w:hAnsi="黑体"/>
          <w:b/>
          <w:sz w:val="24"/>
        </w:rPr>
        <w:t xml:space="preserve">  明确的终止时刻T</w:t>
      </w:r>
    </w:p>
    <w:p w14:paraId="5813835B" w14:textId="043C6348" w:rsidR="00AE4B3B" w:rsidRDefault="00AE4B3B" w:rsidP="00AE4B3B">
      <w:pPr>
        <w:spacing w:after="60" w:line="360" w:lineRule="auto"/>
        <w:ind w:firstLine="480"/>
        <w:jc w:val="both"/>
      </w:pPr>
      <w:r>
        <w:rPr>
          <w:rFonts w:ascii="宋体" w:eastAsia="宋体" w:hAnsi="宋体"/>
          <w:sz w:val="24"/>
        </w:rPr>
        <w:t>有限步MDP的首要特征是存在明确的终止时刻。在</w:t>
      </w:r>
      <w:r w:rsidR="00B31028">
        <w:rPr>
          <w:rFonts w:ascii="宋体" w:eastAsia="宋体" w:hAnsi="宋体" w:hint="eastAsia"/>
          <w:sz w:val="24"/>
        </w:rPr>
        <w:t>这次扩展</w:t>
      </w:r>
      <w:r>
        <w:rPr>
          <w:rFonts w:ascii="宋体" w:eastAsia="宋体" w:hAnsi="宋体"/>
          <w:sz w:val="24"/>
        </w:rPr>
        <w:t>中，每个训练回合（Episode）的规划期长度被显式设定为T个周期，时间步t从0到T-1依次推进。当t达到T时，回合终止，不再进行后续的订货决策与库存更新。</w:t>
      </w:r>
    </w:p>
    <w:p w14:paraId="10C1EF55" w14:textId="77777777" w:rsidR="00AE4B3B" w:rsidRDefault="00AE4B3B" w:rsidP="00AE4B3B">
      <w:pPr>
        <w:spacing w:before="120" w:after="120"/>
        <w:jc w:val="center"/>
      </w:pPr>
      <w:proofErr w:type="gramStart"/>
      <w:r>
        <w:rPr>
          <w:rFonts w:ascii="Times New Roman" w:eastAsia="Times New Roman" w:hAnsi="Times New Roman"/>
          <w:i/>
          <w:sz w:val="24"/>
        </w:rPr>
        <w:t>min  J</w:t>
      </w:r>
      <w:proofErr w:type="gramEnd"/>
      <w:r>
        <w:rPr>
          <w:rFonts w:ascii="Times New Roman" w:eastAsia="Times New Roman" w:hAnsi="Times New Roman"/>
          <w:i/>
          <w:sz w:val="24"/>
        </w:rPr>
        <w:t xml:space="preserve">(π) = </w:t>
      </w:r>
      <w:proofErr w:type="gramStart"/>
      <w:r>
        <w:rPr>
          <w:rFonts w:ascii="Times New Roman" w:eastAsia="Times New Roman" w:hAnsi="Times New Roman"/>
          <w:i/>
          <w:sz w:val="24"/>
        </w:rPr>
        <w:t>E[</w:t>
      </w:r>
      <w:proofErr w:type="gramEnd"/>
      <w:r>
        <w:rPr>
          <w:rFonts w:ascii="Times New Roman" w:eastAsia="Times New Roman" w:hAnsi="Times New Roman"/>
          <w:i/>
          <w:sz w:val="24"/>
        </w:rPr>
        <w:t xml:space="preserve"> </w:t>
      </w:r>
      <w:proofErr w:type="gramStart"/>
      <w:r>
        <w:rPr>
          <w:rFonts w:ascii="Times New Roman" w:eastAsia="Times New Roman" w:hAnsi="Times New Roman"/>
          <w:i/>
          <w:sz w:val="24"/>
        </w:rPr>
        <w:t>Σ(</w:t>
      </w:r>
      <w:proofErr w:type="gramEnd"/>
      <w:r>
        <w:rPr>
          <w:rFonts w:ascii="Times New Roman" w:eastAsia="Times New Roman" w:hAnsi="Times New Roman"/>
          <w:i/>
          <w:sz w:val="24"/>
        </w:rPr>
        <w:t xml:space="preserve">t=0 to T-1) αᵗ · </w:t>
      </w:r>
      <w:proofErr w:type="gramStart"/>
      <w:r>
        <w:rPr>
          <w:rFonts w:ascii="Times New Roman" w:eastAsia="Times New Roman" w:hAnsi="Times New Roman"/>
          <w:i/>
          <w:sz w:val="24"/>
        </w:rPr>
        <w:t>C(</w:t>
      </w:r>
      <w:proofErr w:type="gramEnd"/>
      <w:r>
        <w:rPr>
          <w:rFonts w:ascii="Times New Roman" w:eastAsia="Times New Roman" w:hAnsi="Times New Roman"/>
          <w:i/>
          <w:sz w:val="24"/>
        </w:rPr>
        <w:t>sₜ, aₜ</w:t>
      </w:r>
      <w:proofErr w:type="gramStart"/>
      <w:r>
        <w:rPr>
          <w:rFonts w:ascii="Times New Roman" w:eastAsia="Times New Roman" w:hAnsi="Times New Roman"/>
          <w:i/>
          <w:sz w:val="24"/>
        </w:rPr>
        <w:t>) ]</w:t>
      </w:r>
      <w:proofErr w:type="gramEnd"/>
    </w:p>
    <w:p w14:paraId="642803C4" w14:textId="340FC449" w:rsidR="00AE4B3B" w:rsidRDefault="00AE4B3B" w:rsidP="00B31028">
      <w:pPr>
        <w:spacing w:after="60" w:line="360" w:lineRule="auto"/>
        <w:ind w:firstLine="480"/>
        <w:jc w:val="both"/>
        <w:rPr>
          <w:rFonts w:hint="eastAsia"/>
        </w:rPr>
      </w:pPr>
    </w:p>
    <w:p w14:paraId="0CA647E8" w14:textId="68373AD0" w:rsidR="00AE4B3B" w:rsidRDefault="00AE4B3B" w:rsidP="00B31028">
      <w:pPr>
        <w:spacing w:before="120" w:after="60" w:line="360" w:lineRule="auto"/>
      </w:pPr>
      <w:r>
        <w:rPr>
          <w:rFonts w:ascii="黑体" w:eastAsia="黑体" w:hAnsi="黑体"/>
          <w:b/>
          <w:sz w:val="24"/>
        </w:rPr>
        <w:t xml:space="preserve">  </w:t>
      </w:r>
    </w:p>
    <w:p w14:paraId="6221368B" w14:textId="0414A126" w:rsidR="00AE4B3B" w:rsidRDefault="00AE4B3B" w:rsidP="00AE4B3B">
      <w:pPr>
        <w:spacing w:before="240" w:after="120" w:line="360" w:lineRule="auto"/>
      </w:pPr>
      <w:r>
        <w:rPr>
          <w:rFonts w:ascii="黑体" w:eastAsia="黑体" w:hAnsi="黑体"/>
          <w:b/>
          <w:sz w:val="28"/>
        </w:rPr>
        <w:t>2.3  有限步的</w:t>
      </w:r>
      <w:r w:rsidR="004A7CA1">
        <w:rPr>
          <w:rFonts w:ascii="黑体" w:eastAsia="黑体" w:hAnsi="黑体" w:hint="eastAsia"/>
          <w:b/>
          <w:sz w:val="28"/>
        </w:rPr>
        <w:t>实验设计</w:t>
      </w:r>
      <w:r>
        <w:rPr>
          <w:rFonts w:ascii="黑体" w:eastAsia="黑体" w:hAnsi="黑体"/>
          <w:b/>
          <w:sz w:val="28"/>
        </w:rPr>
        <w:t>具体步数计算</w:t>
      </w:r>
    </w:p>
    <w:p w14:paraId="2F36533B" w14:textId="77777777" w:rsidR="00AE4B3B" w:rsidRDefault="00AE4B3B" w:rsidP="00AE4B3B">
      <w:pPr>
        <w:spacing w:before="120" w:after="60" w:line="360" w:lineRule="auto"/>
      </w:pPr>
      <w:r>
        <w:rPr>
          <w:rFonts w:ascii="黑体" w:eastAsia="黑体" w:hAnsi="黑体"/>
          <w:b/>
          <w:sz w:val="24"/>
        </w:rPr>
        <w:t>2.3.1  基准步数：规划期T</w:t>
      </w:r>
    </w:p>
    <w:p w14:paraId="52496ADA" w14:textId="172F1591" w:rsidR="00AE4B3B" w:rsidRDefault="00AE4B3B" w:rsidP="00B31028">
      <w:pPr>
        <w:spacing w:after="60" w:line="360" w:lineRule="auto"/>
        <w:ind w:firstLine="480"/>
        <w:jc w:val="both"/>
        <w:rPr>
          <w:rFonts w:hint="eastAsia"/>
        </w:rPr>
      </w:pPr>
      <w:r>
        <w:rPr>
          <w:rFonts w:ascii="宋体" w:eastAsia="宋体" w:hAnsi="宋体"/>
          <w:sz w:val="24"/>
        </w:rPr>
        <w:t>本文模型的有限步步数直接由规划期长度T决定。每个回合包含T个决策周期，对应T个时间步。在每个时间步t（t = 0, 1, ..., T-1），智能体观测状态s</w:t>
      </w:r>
      <w:r>
        <w:rPr>
          <w:rFonts w:ascii="Segoe UI Symbol" w:eastAsia="宋体" w:hAnsi="Segoe UI Symbol" w:cs="Segoe UI Symbol"/>
          <w:sz w:val="24"/>
        </w:rPr>
        <w:t>ₜ</w:t>
      </w:r>
      <w:r>
        <w:rPr>
          <w:rFonts w:ascii="宋体" w:eastAsia="宋体" w:hAnsi="宋体"/>
          <w:sz w:val="24"/>
        </w:rPr>
        <w:t>，执行动作a</w:t>
      </w:r>
      <w:r>
        <w:rPr>
          <w:rFonts w:ascii="Segoe UI Symbol" w:eastAsia="宋体" w:hAnsi="Segoe UI Symbol" w:cs="Segoe UI Symbol"/>
          <w:sz w:val="24"/>
        </w:rPr>
        <w:t>ₜ</w:t>
      </w:r>
      <w:r>
        <w:rPr>
          <w:rFonts w:ascii="宋体" w:eastAsia="宋体" w:hAnsi="宋体"/>
          <w:sz w:val="24"/>
        </w:rPr>
        <w:t>，接收奖励r</w:t>
      </w:r>
      <w:r>
        <w:rPr>
          <w:rFonts w:ascii="Segoe UI Symbol" w:eastAsia="宋体" w:hAnsi="Segoe UI Symbol" w:cs="Segoe UI Symbol"/>
          <w:sz w:val="24"/>
        </w:rPr>
        <w:t>ₜ</w:t>
      </w:r>
      <w:r>
        <w:rPr>
          <w:rFonts w:ascii="宋体" w:eastAsia="宋体" w:hAnsi="宋体"/>
          <w:sz w:val="24"/>
        </w:rPr>
        <w:t>，并转移到下一状态s</w:t>
      </w:r>
      <w:r>
        <w:rPr>
          <w:rFonts w:ascii="Segoe UI Symbol" w:eastAsia="宋体" w:hAnsi="Segoe UI Symbol" w:cs="Segoe UI Symbol"/>
          <w:sz w:val="24"/>
        </w:rPr>
        <w:t>ₜ</w:t>
      </w:r>
      <w:r>
        <w:rPr>
          <w:rFonts w:ascii="Cambria Math" w:eastAsia="宋体" w:hAnsi="Cambria Math" w:cs="Cambria Math"/>
          <w:sz w:val="24"/>
        </w:rPr>
        <w:t>₊₁</w:t>
      </w:r>
      <w:r>
        <w:rPr>
          <w:rFonts w:ascii="宋体" w:eastAsia="宋体" w:hAnsi="宋体"/>
          <w:sz w:val="24"/>
        </w:rPr>
        <w:t>。当t = T时，回合终止。</w:t>
      </w:r>
    </w:p>
    <w:tbl>
      <w:tblPr>
        <w:tblStyle w:val="a4"/>
        <w:tblW w:w="0" w:type="auto"/>
        <w:tblLook w:val="04A0" w:firstRow="1" w:lastRow="0" w:firstColumn="1" w:lastColumn="0" w:noHBand="0" w:noVBand="1"/>
      </w:tblPr>
      <w:tblGrid>
        <w:gridCol w:w="2066"/>
        <w:gridCol w:w="2081"/>
        <w:gridCol w:w="2081"/>
        <w:gridCol w:w="2067"/>
      </w:tblGrid>
      <w:tr w:rsidR="00AE4B3B" w14:paraId="2CA516F8" w14:textId="77777777" w:rsidTr="002E58C1">
        <w:tc>
          <w:tcPr>
            <w:tcW w:w="2351" w:type="dxa"/>
          </w:tcPr>
          <w:p w14:paraId="65951F62" w14:textId="77777777" w:rsidR="00AE4B3B" w:rsidRDefault="00AE4B3B" w:rsidP="002E58C1">
            <w:pPr>
              <w:jc w:val="center"/>
            </w:pPr>
            <w:proofErr w:type="spellStart"/>
            <w:r>
              <w:rPr>
                <w:rFonts w:ascii="黑体" w:eastAsia="黑体" w:hAnsi="黑体"/>
                <w:b/>
              </w:rPr>
              <w:t>实验设置</w:t>
            </w:r>
            <w:proofErr w:type="spellEnd"/>
          </w:p>
        </w:tc>
        <w:tc>
          <w:tcPr>
            <w:tcW w:w="2351" w:type="dxa"/>
          </w:tcPr>
          <w:p w14:paraId="24E1EBEA" w14:textId="77777777" w:rsidR="00AE4B3B" w:rsidRDefault="00AE4B3B" w:rsidP="002E58C1">
            <w:pPr>
              <w:jc w:val="center"/>
            </w:pPr>
            <w:proofErr w:type="spellStart"/>
            <w:r>
              <w:rPr>
                <w:rFonts w:ascii="黑体" w:eastAsia="黑体" w:hAnsi="黑体"/>
                <w:b/>
              </w:rPr>
              <w:t>规划期T</w:t>
            </w:r>
            <w:proofErr w:type="spellEnd"/>
          </w:p>
        </w:tc>
        <w:tc>
          <w:tcPr>
            <w:tcW w:w="2351" w:type="dxa"/>
          </w:tcPr>
          <w:p w14:paraId="0A242669" w14:textId="77777777" w:rsidR="00AE4B3B" w:rsidRDefault="00AE4B3B" w:rsidP="002E58C1">
            <w:pPr>
              <w:jc w:val="center"/>
            </w:pPr>
            <w:proofErr w:type="spellStart"/>
            <w:r>
              <w:rPr>
                <w:rFonts w:ascii="黑体" w:eastAsia="黑体" w:hAnsi="黑体"/>
                <w:b/>
              </w:rPr>
              <w:t>总步数</w:t>
            </w:r>
            <w:proofErr w:type="spellEnd"/>
          </w:p>
        </w:tc>
        <w:tc>
          <w:tcPr>
            <w:tcW w:w="2351" w:type="dxa"/>
          </w:tcPr>
          <w:p w14:paraId="27E238AD" w14:textId="77777777" w:rsidR="00AE4B3B" w:rsidRDefault="00AE4B3B" w:rsidP="002E58C1">
            <w:pPr>
              <w:jc w:val="center"/>
            </w:pPr>
            <w:proofErr w:type="spellStart"/>
            <w:r>
              <w:rPr>
                <w:rFonts w:ascii="黑体" w:eastAsia="黑体" w:hAnsi="黑体"/>
                <w:b/>
              </w:rPr>
              <w:t>说明</w:t>
            </w:r>
            <w:proofErr w:type="spellEnd"/>
          </w:p>
        </w:tc>
      </w:tr>
      <w:tr w:rsidR="00AE4B3B" w14:paraId="5F3DB294" w14:textId="77777777" w:rsidTr="002E58C1">
        <w:tc>
          <w:tcPr>
            <w:tcW w:w="2351" w:type="dxa"/>
          </w:tcPr>
          <w:p w14:paraId="546F04EE" w14:textId="77777777" w:rsidR="00AE4B3B" w:rsidRDefault="00AE4B3B" w:rsidP="002E58C1">
            <w:proofErr w:type="spellStart"/>
            <w:r>
              <w:rPr>
                <w:rFonts w:ascii="宋体" w:eastAsia="宋体" w:hAnsi="宋体"/>
                <w:sz w:val="21"/>
              </w:rPr>
              <w:t>短规划期</w:t>
            </w:r>
            <w:proofErr w:type="spellEnd"/>
          </w:p>
        </w:tc>
        <w:tc>
          <w:tcPr>
            <w:tcW w:w="2351" w:type="dxa"/>
          </w:tcPr>
          <w:p w14:paraId="421CFA53" w14:textId="77777777" w:rsidR="00AE4B3B" w:rsidRDefault="00AE4B3B" w:rsidP="002E58C1">
            <w:r>
              <w:rPr>
                <w:rFonts w:ascii="宋体" w:eastAsia="宋体" w:hAnsi="宋体"/>
                <w:sz w:val="21"/>
              </w:rPr>
              <w:t>50</w:t>
            </w:r>
          </w:p>
        </w:tc>
        <w:tc>
          <w:tcPr>
            <w:tcW w:w="2351" w:type="dxa"/>
          </w:tcPr>
          <w:p w14:paraId="6CBC1026" w14:textId="77777777" w:rsidR="00AE4B3B" w:rsidRDefault="00AE4B3B" w:rsidP="002E58C1">
            <w:r>
              <w:rPr>
                <w:rFonts w:ascii="宋体" w:eastAsia="宋体" w:hAnsi="宋体"/>
                <w:sz w:val="21"/>
              </w:rPr>
              <w:t>50步</w:t>
            </w:r>
          </w:p>
        </w:tc>
        <w:tc>
          <w:tcPr>
            <w:tcW w:w="2351" w:type="dxa"/>
          </w:tcPr>
          <w:p w14:paraId="05C48562" w14:textId="77777777" w:rsidR="00AE4B3B" w:rsidRDefault="00AE4B3B" w:rsidP="002E58C1">
            <w:pPr>
              <w:rPr>
                <w:lang w:eastAsia="zh-CN"/>
              </w:rPr>
            </w:pPr>
            <w:r>
              <w:rPr>
                <w:rFonts w:ascii="宋体" w:eastAsia="宋体" w:hAnsi="宋体"/>
                <w:sz w:val="21"/>
                <w:lang w:eastAsia="zh-CN"/>
              </w:rPr>
              <w:t>用于快速验证与消融实验</w:t>
            </w:r>
          </w:p>
        </w:tc>
      </w:tr>
      <w:tr w:rsidR="00AE4B3B" w14:paraId="2B552165" w14:textId="77777777" w:rsidTr="002E58C1">
        <w:tc>
          <w:tcPr>
            <w:tcW w:w="2351" w:type="dxa"/>
          </w:tcPr>
          <w:p w14:paraId="5CF8B786" w14:textId="77777777" w:rsidR="00AE4B3B" w:rsidRDefault="00AE4B3B" w:rsidP="002E58C1">
            <w:proofErr w:type="spellStart"/>
            <w:r>
              <w:rPr>
                <w:rFonts w:ascii="宋体" w:eastAsia="宋体" w:hAnsi="宋体"/>
                <w:sz w:val="21"/>
              </w:rPr>
              <w:t>长规划期</w:t>
            </w:r>
            <w:proofErr w:type="spellEnd"/>
          </w:p>
        </w:tc>
        <w:tc>
          <w:tcPr>
            <w:tcW w:w="2351" w:type="dxa"/>
          </w:tcPr>
          <w:p w14:paraId="4CA56EC3" w14:textId="77777777" w:rsidR="00AE4B3B" w:rsidRDefault="00AE4B3B" w:rsidP="002E58C1">
            <w:r>
              <w:rPr>
                <w:rFonts w:ascii="宋体" w:eastAsia="宋体" w:hAnsi="宋体"/>
                <w:sz w:val="21"/>
              </w:rPr>
              <w:t>100</w:t>
            </w:r>
          </w:p>
        </w:tc>
        <w:tc>
          <w:tcPr>
            <w:tcW w:w="2351" w:type="dxa"/>
          </w:tcPr>
          <w:p w14:paraId="01971BF1" w14:textId="77777777" w:rsidR="00AE4B3B" w:rsidRDefault="00AE4B3B" w:rsidP="002E58C1">
            <w:r>
              <w:rPr>
                <w:rFonts w:ascii="宋体" w:eastAsia="宋体" w:hAnsi="宋体"/>
                <w:sz w:val="21"/>
              </w:rPr>
              <w:t>100步</w:t>
            </w:r>
          </w:p>
        </w:tc>
        <w:tc>
          <w:tcPr>
            <w:tcW w:w="2351" w:type="dxa"/>
          </w:tcPr>
          <w:p w14:paraId="1D178BA6" w14:textId="77777777" w:rsidR="00AE4B3B" w:rsidRDefault="00AE4B3B" w:rsidP="002E58C1">
            <w:pPr>
              <w:rPr>
                <w:lang w:eastAsia="zh-CN"/>
              </w:rPr>
            </w:pPr>
            <w:r>
              <w:rPr>
                <w:rFonts w:ascii="宋体" w:eastAsia="宋体" w:hAnsi="宋体"/>
                <w:sz w:val="21"/>
                <w:lang w:eastAsia="zh-CN"/>
              </w:rPr>
              <w:t>用于主实验与鲁棒性分析</w:t>
            </w:r>
          </w:p>
        </w:tc>
      </w:tr>
    </w:tbl>
    <w:p w14:paraId="60791F26" w14:textId="77777777" w:rsidR="00AE4B3B" w:rsidRDefault="00AE4B3B" w:rsidP="00AE4B3B">
      <w:pPr>
        <w:spacing w:before="240" w:after="120" w:line="360" w:lineRule="auto"/>
      </w:pPr>
      <w:r>
        <w:rPr>
          <w:rFonts w:ascii="黑体" w:eastAsia="黑体" w:hAnsi="黑体"/>
          <w:b/>
          <w:sz w:val="28"/>
        </w:rPr>
        <w:t>3.1  非平稳需求下的马尔可夫性缺失</w:t>
      </w:r>
    </w:p>
    <w:p w14:paraId="42C23024" w14:textId="30A5CB19" w:rsidR="00AE4B3B" w:rsidRDefault="00AE4B3B" w:rsidP="00AE4B3B">
      <w:pPr>
        <w:spacing w:after="60" w:line="360" w:lineRule="auto"/>
        <w:ind w:firstLine="480"/>
        <w:jc w:val="both"/>
      </w:pPr>
      <w:r>
        <w:rPr>
          <w:rFonts w:ascii="宋体" w:eastAsia="宋体" w:hAnsi="宋体"/>
          <w:sz w:val="24"/>
        </w:rPr>
        <w:t xml:space="preserve">在本文的季节性需求扩展中，需求分布随时间变化：μ(t) = </w:t>
      </w:r>
      <w:proofErr w:type="spellStart"/>
      <w:r>
        <w:rPr>
          <w:rFonts w:ascii="宋体" w:eastAsia="宋体" w:hAnsi="宋体"/>
          <w:sz w:val="24"/>
        </w:rPr>
        <w:t>μ_base</w:t>
      </w:r>
      <w:proofErr w:type="spellEnd"/>
      <w:r>
        <w:rPr>
          <w:rFonts w:ascii="宋体" w:eastAsia="宋体" w:hAnsi="宋体"/>
          <w:sz w:val="24"/>
        </w:rPr>
        <w:t xml:space="preserve"> + </w:t>
      </w:r>
      <w:proofErr w:type="spellStart"/>
      <w:r>
        <w:rPr>
          <w:rFonts w:ascii="宋体" w:eastAsia="宋体" w:hAnsi="宋体"/>
          <w:sz w:val="24"/>
        </w:rPr>
        <w:t>A·sin</w:t>
      </w:r>
      <w:proofErr w:type="spellEnd"/>
      <w:r>
        <w:rPr>
          <w:rFonts w:ascii="宋体" w:eastAsia="宋体" w:hAnsi="宋体"/>
          <w:sz w:val="24"/>
        </w:rPr>
        <w:t>(2πt/τ)。此时，如果状态向量中不包含时间信息，那么仅根据当前库存与在途订单，智能体无法判断当前处于周期的什么位置，也无法预测下一期的需求分布。这就导致了马尔可夫性的缺失。</w:t>
      </w:r>
    </w:p>
    <w:p w14:paraId="2EBDBC2E" w14:textId="77777777" w:rsidR="00AE4B3B" w:rsidRDefault="00AE4B3B" w:rsidP="00AE4B3B">
      <w:pPr>
        <w:spacing w:after="60" w:line="360" w:lineRule="auto"/>
        <w:ind w:firstLine="480"/>
        <w:jc w:val="both"/>
      </w:pPr>
      <w:r>
        <w:rPr>
          <w:rFonts w:ascii="宋体" w:eastAsia="宋体" w:hAnsi="宋体"/>
          <w:sz w:val="24"/>
        </w:rPr>
        <w:t>具体来说，假设当前库存水平为I，但时间步t不同：</w:t>
      </w:r>
    </w:p>
    <w:p w14:paraId="3FE90827"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若t处于旺季（</w:t>
      </w:r>
      <w:r>
        <w:rPr>
          <w:rFonts w:ascii="宋体" w:eastAsia="宋体" w:hAnsi="宋体"/>
          <w:sz w:val="24"/>
        </w:rPr>
        <w:t>μ</w:t>
      </w:r>
      <w:r>
        <w:rPr>
          <w:rFonts w:ascii="宋体" w:eastAsia="宋体" w:hAnsi="宋体"/>
          <w:sz w:val="24"/>
          <w:lang w:eastAsia="zh-CN"/>
        </w:rPr>
        <w:t>(t)较高），则下一期的期望需求较大，缺货风险较高，应该保持较高的库存水平；</w:t>
      </w:r>
    </w:p>
    <w:p w14:paraId="69EA9908"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lastRenderedPageBreak/>
        <w:t>若t处于淡季（</w:t>
      </w:r>
      <w:r>
        <w:rPr>
          <w:rFonts w:ascii="宋体" w:eastAsia="宋体" w:hAnsi="宋体"/>
          <w:sz w:val="24"/>
        </w:rPr>
        <w:t>μ</w:t>
      </w:r>
      <w:r>
        <w:rPr>
          <w:rFonts w:ascii="宋体" w:eastAsia="宋体" w:hAnsi="宋体"/>
          <w:sz w:val="24"/>
          <w:lang w:eastAsia="zh-CN"/>
        </w:rPr>
        <w:t>(t)较低），则下一期的期望需求较小，积压风险较高，应该保持较低的库存水平。</w:t>
      </w:r>
    </w:p>
    <w:p w14:paraId="67FDB214" w14:textId="77777777" w:rsidR="00AE4B3B" w:rsidRPr="0036516A" w:rsidRDefault="00AE4B3B" w:rsidP="00AE4B3B">
      <w:pPr>
        <w:spacing w:after="60" w:line="360" w:lineRule="auto"/>
        <w:ind w:firstLine="480"/>
        <w:jc w:val="both"/>
        <w:rPr>
          <w:color w:val="FF0000"/>
        </w:rPr>
      </w:pPr>
      <w:r w:rsidRPr="0036516A">
        <w:rPr>
          <w:rFonts w:ascii="宋体" w:eastAsia="宋体" w:hAnsi="宋体"/>
          <w:color w:val="FF0000"/>
          <w:sz w:val="24"/>
        </w:rPr>
        <w:t>相同的库存水平I在不同的时间步t下，最优的订货决策是不同的。这说明仅用库存水平与在途订单作为状态是不够的——状态中缺少了关键的时间信息，导致不满足马尔可夫性。</w:t>
      </w:r>
    </w:p>
    <w:p w14:paraId="0AA591DE" w14:textId="4B2717D3" w:rsidR="00AE4B3B" w:rsidRDefault="00AE4B3B" w:rsidP="00AE4B3B">
      <w:pPr>
        <w:spacing w:before="240" w:after="120" w:line="360" w:lineRule="auto"/>
      </w:pPr>
      <w:r>
        <w:rPr>
          <w:rFonts w:ascii="黑体" w:eastAsia="黑体" w:hAnsi="黑体"/>
          <w:b/>
          <w:sz w:val="28"/>
        </w:rPr>
        <w:t xml:space="preserve"> 状态空间扩展法：时间编码恢复马尔可夫性</w:t>
      </w:r>
    </w:p>
    <w:p w14:paraId="0CD9BB02" w14:textId="059837F0" w:rsidR="00AE4B3B" w:rsidRDefault="00AE4B3B" w:rsidP="00AE4B3B">
      <w:pPr>
        <w:spacing w:after="60" w:line="360" w:lineRule="auto"/>
        <w:ind w:firstLine="480"/>
        <w:jc w:val="both"/>
      </w:pPr>
      <w:r>
        <w:rPr>
          <w:rFonts w:ascii="宋体" w:eastAsia="宋体" w:hAnsi="宋体"/>
          <w:sz w:val="24"/>
        </w:rPr>
        <w:t>将导致环境非平稳的因素（在本文中即时间t）显式地加入状态向量，构造扩展状态空间，使扩展后的MDP重新满足马尔可夫性。</w:t>
      </w:r>
    </w:p>
    <w:p w14:paraId="17E7E889" w14:textId="35C9E76C" w:rsidR="00AE4B3B" w:rsidRDefault="00AE4B3B" w:rsidP="00AE4B3B">
      <w:pPr>
        <w:spacing w:after="60" w:line="360" w:lineRule="auto"/>
        <w:ind w:firstLine="480"/>
        <w:jc w:val="both"/>
      </w:pPr>
      <w:r>
        <w:rPr>
          <w:rFonts w:ascii="宋体" w:eastAsia="宋体" w:hAnsi="宋体"/>
          <w:sz w:val="24"/>
        </w:rPr>
        <w:t>具体到本文的季节性需求场景，原始状态：</w:t>
      </w:r>
    </w:p>
    <w:p w14:paraId="36D09B13" w14:textId="77777777" w:rsidR="00AE4B3B" w:rsidRDefault="00AE4B3B" w:rsidP="00AE4B3B">
      <w:pPr>
        <w:spacing w:before="120" w:after="120"/>
        <w:jc w:val="center"/>
      </w:pPr>
      <w:r>
        <w:rPr>
          <w:rFonts w:ascii="Times New Roman" w:eastAsia="Times New Roman" w:hAnsi="Times New Roman"/>
          <w:i/>
          <w:sz w:val="24"/>
        </w:rPr>
        <w:t>sₜ = (Iₜ, qₜ₋ₗ₊₁, ..., qₜ₋₁)</w:t>
      </w:r>
    </w:p>
    <w:p w14:paraId="7BD9F06E" w14:textId="77777777" w:rsidR="00AE4B3B" w:rsidRDefault="00AE4B3B" w:rsidP="00AE4B3B">
      <w:pPr>
        <w:spacing w:after="60" w:line="360" w:lineRule="auto"/>
        <w:ind w:firstLine="480"/>
        <w:jc w:val="both"/>
      </w:pPr>
      <w:r>
        <w:rPr>
          <w:rFonts w:ascii="宋体" w:eastAsia="宋体" w:hAnsi="宋体"/>
          <w:sz w:val="24"/>
        </w:rPr>
        <w:t>其中I</w:t>
      </w:r>
      <w:r>
        <w:rPr>
          <w:rFonts w:ascii="Segoe UI Symbol" w:eastAsia="宋体" w:hAnsi="Segoe UI Symbol" w:cs="Segoe UI Symbol"/>
          <w:sz w:val="24"/>
        </w:rPr>
        <w:t>ₜ</w:t>
      </w:r>
      <w:r>
        <w:rPr>
          <w:rFonts w:ascii="宋体" w:eastAsia="宋体" w:hAnsi="宋体"/>
          <w:sz w:val="24"/>
        </w:rPr>
        <w:t>为当前可用库存，q</w:t>
      </w:r>
      <w:r>
        <w:rPr>
          <w:rFonts w:ascii="Segoe UI Symbol" w:eastAsia="宋体" w:hAnsi="Segoe UI Symbol" w:cs="Segoe UI Symbol"/>
          <w:sz w:val="24"/>
        </w:rPr>
        <w:t>ₜ</w:t>
      </w:r>
      <w:r>
        <w:rPr>
          <w:rFonts w:ascii="Cambria Math" w:eastAsia="宋体" w:hAnsi="Cambria Math" w:cs="Cambria Math"/>
          <w:sz w:val="24"/>
        </w:rPr>
        <w:t>₋</w:t>
      </w:r>
      <w:r>
        <w:rPr>
          <w:rFonts w:ascii="Times New Roman" w:eastAsia="宋体" w:hAnsi="Times New Roman" w:cs="Times New Roman"/>
          <w:sz w:val="24"/>
        </w:rPr>
        <w:t>ᵢ</w:t>
      </w:r>
      <w:r>
        <w:rPr>
          <w:rFonts w:ascii="宋体" w:eastAsia="宋体" w:hAnsi="宋体"/>
          <w:sz w:val="24"/>
        </w:rPr>
        <w:t>为</w:t>
      </w:r>
      <w:proofErr w:type="spellStart"/>
      <w:r>
        <w:rPr>
          <w:rFonts w:ascii="宋体" w:eastAsia="宋体" w:hAnsi="宋体"/>
          <w:sz w:val="24"/>
        </w:rPr>
        <w:t>i</w:t>
      </w:r>
      <w:proofErr w:type="spellEnd"/>
      <w:r>
        <w:rPr>
          <w:rFonts w:ascii="宋体" w:eastAsia="宋体" w:hAnsi="宋体"/>
          <w:sz w:val="24"/>
        </w:rPr>
        <w:t>期前订购的在途订单。</w:t>
      </w:r>
    </w:p>
    <w:p w14:paraId="72E9A591" w14:textId="77777777" w:rsidR="00AE4B3B" w:rsidRDefault="00AE4B3B" w:rsidP="00AE4B3B">
      <w:pPr>
        <w:spacing w:after="60" w:line="360" w:lineRule="auto"/>
        <w:ind w:firstLine="480"/>
        <w:jc w:val="both"/>
      </w:pPr>
      <w:r>
        <w:rPr>
          <w:rFonts w:ascii="宋体" w:eastAsia="宋体" w:hAnsi="宋体"/>
          <w:sz w:val="24"/>
        </w:rPr>
        <w:t>扩展后的状态为：</w:t>
      </w:r>
    </w:p>
    <w:p w14:paraId="0881A464" w14:textId="77777777" w:rsidR="00AE4B3B" w:rsidRDefault="00AE4B3B" w:rsidP="00AE4B3B">
      <w:pPr>
        <w:spacing w:before="120" w:after="120"/>
        <w:jc w:val="center"/>
      </w:pPr>
      <w:r>
        <w:rPr>
          <w:rFonts w:ascii="Times New Roman" w:eastAsia="Times New Roman" w:hAnsi="Times New Roman"/>
          <w:i/>
          <w:sz w:val="24"/>
        </w:rPr>
        <w:t xml:space="preserve">s̃ₜ = (Iₜ, qₜ₋ₗ₊₁, ..., qₜ₋₁, </w:t>
      </w:r>
      <w:proofErr w:type="spellStart"/>
      <w:r>
        <w:rPr>
          <w:rFonts w:ascii="Times New Roman" w:eastAsia="Times New Roman" w:hAnsi="Times New Roman"/>
          <w:i/>
          <w:sz w:val="24"/>
        </w:rPr>
        <w:t>t_enc</w:t>
      </w:r>
      <w:proofErr w:type="spellEnd"/>
      <w:r>
        <w:rPr>
          <w:rFonts w:ascii="Times New Roman" w:eastAsia="Times New Roman" w:hAnsi="Times New Roman"/>
          <w:i/>
          <w:sz w:val="24"/>
        </w:rPr>
        <w:t>)</w:t>
      </w:r>
    </w:p>
    <w:p w14:paraId="708C356A" w14:textId="1B6164A5" w:rsidR="00AE4B3B" w:rsidRDefault="00AE4B3B" w:rsidP="00AE4B3B">
      <w:pPr>
        <w:spacing w:after="60" w:line="360" w:lineRule="auto"/>
        <w:ind w:firstLine="480"/>
        <w:jc w:val="both"/>
      </w:pPr>
      <w:r>
        <w:rPr>
          <w:rFonts w:ascii="宋体" w:eastAsia="宋体" w:hAnsi="宋体"/>
          <w:sz w:val="24"/>
        </w:rPr>
        <w:t>其中</w:t>
      </w:r>
      <w:proofErr w:type="spellStart"/>
      <w:r>
        <w:rPr>
          <w:rFonts w:ascii="宋体" w:eastAsia="宋体" w:hAnsi="宋体"/>
          <w:sz w:val="24"/>
        </w:rPr>
        <w:t>t_enc</w:t>
      </w:r>
      <w:proofErr w:type="spellEnd"/>
      <w:r>
        <w:rPr>
          <w:rFonts w:ascii="宋体" w:eastAsia="宋体" w:hAnsi="宋体"/>
          <w:sz w:val="24"/>
        </w:rPr>
        <w:t>为时间编码特征</w:t>
      </w:r>
    </w:p>
    <w:p w14:paraId="2053D889" w14:textId="38C7EB8E" w:rsidR="00AE4B3B" w:rsidRDefault="001A4343" w:rsidP="00AE4B3B">
      <w:pPr>
        <w:spacing w:before="360" w:after="240" w:line="360" w:lineRule="auto"/>
        <w:jc w:val="center"/>
        <w:rPr>
          <w:rFonts w:hint="eastAsia"/>
        </w:rPr>
      </w:pPr>
      <w:r>
        <w:rPr>
          <w:rFonts w:ascii="黑体" w:eastAsia="黑体" w:hAnsi="黑体" w:hint="eastAsia"/>
          <w:b/>
          <w:sz w:val="32"/>
        </w:rPr>
        <w:t>扩展</w:t>
      </w:r>
      <w:r w:rsidR="00AE4B3B">
        <w:rPr>
          <w:rFonts w:ascii="黑体" w:eastAsia="黑体" w:hAnsi="黑体"/>
          <w:b/>
          <w:sz w:val="32"/>
        </w:rPr>
        <w:t>时间状态编码设计</w:t>
      </w:r>
    </w:p>
    <w:p w14:paraId="0FA2CFCD" w14:textId="68A47FE6" w:rsidR="00AE4B3B" w:rsidRDefault="00AE4B3B" w:rsidP="00AE4B3B">
      <w:pPr>
        <w:spacing w:before="120" w:after="60" w:line="360" w:lineRule="auto"/>
      </w:pPr>
      <w:r>
        <w:rPr>
          <w:rFonts w:ascii="黑体" w:eastAsia="黑体" w:hAnsi="黑体"/>
          <w:b/>
          <w:sz w:val="24"/>
        </w:rPr>
        <w:t>1  正弦周期编码</w:t>
      </w:r>
    </w:p>
    <w:p w14:paraId="740A9ECC" w14:textId="77777777" w:rsidR="00AE4B3B" w:rsidRDefault="00AE4B3B" w:rsidP="00AE4B3B">
      <w:pPr>
        <w:spacing w:before="120" w:after="120"/>
        <w:jc w:val="center"/>
      </w:pPr>
      <w:proofErr w:type="spellStart"/>
      <w:r>
        <w:rPr>
          <w:rFonts w:ascii="Times New Roman" w:eastAsia="Times New Roman" w:hAnsi="Times New Roman"/>
          <w:i/>
          <w:sz w:val="24"/>
        </w:rPr>
        <w:t>sin_enc</w:t>
      </w:r>
      <w:proofErr w:type="spellEnd"/>
      <w:r>
        <w:rPr>
          <w:rFonts w:ascii="Times New Roman" w:eastAsia="Times New Roman" w:hAnsi="Times New Roman"/>
          <w:i/>
          <w:sz w:val="24"/>
        </w:rPr>
        <w:t xml:space="preserve"> = </w:t>
      </w:r>
      <w:proofErr w:type="gramStart"/>
      <w:r>
        <w:rPr>
          <w:rFonts w:ascii="Times New Roman" w:eastAsia="Times New Roman" w:hAnsi="Times New Roman"/>
          <w:i/>
          <w:sz w:val="24"/>
        </w:rPr>
        <w:t>sin(</w:t>
      </w:r>
      <w:proofErr w:type="gramEnd"/>
      <w:r>
        <w:rPr>
          <w:rFonts w:ascii="Times New Roman" w:eastAsia="Times New Roman" w:hAnsi="Times New Roman"/>
          <w:i/>
          <w:sz w:val="24"/>
        </w:rPr>
        <w:t>2πt / τ)</w:t>
      </w:r>
    </w:p>
    <w:p w14:paraId="567AE235" w14:textId="4479B44F" w:rsidR="00AE4B3B" w:rsidRDefault="00AE4B3B" w:rsidP="00AE4B3B">
      <w:pPr>
        <w:spacing w:after="60" w:line="360" w:lineRule="auto"/>
        <w:ind w:firstLine="480"/>
        <w:jc w:val="both"/>
      </w:pPr>
      <w:r>
        <w:rPr>
          <w:rFonts w:ascii="宋体" w:eastAsia="宋体" w:hAnsi="宋体"/>
          <w:sz w:val="24"/>
        </w:rPr>
        <w:t>t为当前时间步，τ为季节性周期长度。</w:t>
      </w:r>
    </w:p>
    <w:p w14:paraId="4344ECE3" w14:textId="77777777" w:rsidR="00AE4B3B" w:rsidRDefault="00AE4B3B" w:rsidP="00AE4B3B">
      <w:pPr>
        <w:spacing w:after="60" w:line="360" w:lineRule="auto"/>
        <w:ind w:firstLine="480"/>
        <w:jc w:val="both"/>
      </w:pPr>
      <w:r>
        <w:rPr>
          <w:rFonts w:ascii="宋体" w:eastAsia="宋体" w:hAnsi="宋体"/>
          <w:sz w:val="24"/>
        </w:rPr>
        <w:t>正弦编码刻画了当前时间在周期中的相位信息。由于正弦函数是周期性的，其值在[-1, 1]之间连续变化，能够平滑地反映当前处于周期的上升阶段还是下降阶段、距离波峰/波谷有多远。</w:t>
      </w:r>
    </w:p>
    <w:p w14:paraId="46408DF1" w14:textId="09CB882E" w:rsidR="00AE4B3B" w:rsidRDefault="00AE4B3B" w:rsidP="00AE4B3B">
      <w:pPr>
        <w:spacing w:before="120" w:after="60" w:line="360" w:lineRule="auto"/>
      </w:pPr>
      <w:r>
        <w:rPr>
          <w:rFonts w:ascii="黑体" w:eastAsia="黑体" w:hAnsi="黑体"/>
          <w:b/>
          <w:sz w:val="24"/>
        </w:rPr>
        <w:t>2  余弦周期编码</w:t>
      </w:r>
    </w:p>
    <w:p w14:paraId="35922959" w14:textId="77777777" w:rsidR="00AE4B3B" w:rsidRDefault="00AE4B3B" w:rsidP="00AE4B3B">
      <w:pPr>
        <w:spacing w:before="120" w:after="120"/>
        <w:jc w:val="center"/>
      </w:pPr>
      <w:proofErr w:type="spellStart"/>
      <w:r>
        <w:rPr>
          <w:rFonts w:ascii="Times New Roman" w:eastAsia="Times New Roman" w:hAnsi="Times New Roman"/>
          <w:i/>
          <w:sz w:val="24"/>
        </w:rPr>
        <w:t>cos_enc</w:t>
      </w:r>
      <w:proofErr w:type="spellEnd"/>
      <w:r>
        <w:rPr>
          <w:rFonts w:ascii="Times New Roman" w:eastAsia="Times New Roman" w:hAnsi="Times New Roman"/>
          <w:i/>
          <w:sz w:val="24"/>
        </w:rPr>
        <w:t xml:space="preserve"> = </w:t>
      </w:r>
      <w:proofErr w:type="gramStart"/>
      <w:r>
        <w:rPr>
          <w:rFonts w:ascii="Times New Roman" w:eastAsia="Times New Roman" w:hAnsi="Times New Roman"/>
          <w:i/>
          <w:sz w:val="24"/>
        </w:rPr>
        <w:t>cos(</w:t>
      </w:r>
      <w:proofErr w:type="gramEnd"/>
      <w:r>
        <w:rPr>
          <w:rFonts w:ascii="Times New Roman" w:eastAsia="Times New Roman" w:hAnsi="Times New Roman"/>
          <w:i/>
          <w:sz w:val="24"/>
        </w:rPr>
        <w:t>2πt / τ)</w:t>
      </w:r>
    </w:p>
    <w:p w14:paraId="43490A28" w14:textId="0C071F1B" w:rsidR="00AE4B3B" w:rsidRDefault="00AE4B3B" w:rsidP="00AE4B3B">
      <w:pPr>
        <w:spacing w:after="60" w:line="360" w:lineRule="auto"/>
        <w:ind w:firstLine="480"/>
        <w:jc w:val="both"/>
      </w:pPr>
      <w:r>
        <w:rPr>
          <w:rFonts w:ascii="宋体" w:eastAsia="宋体" w:hAnsi="宋体"/>
          <w:sz w:val="24"/>
        </w:rPr>
        <w:t>余弦编码与正弦编码配合使用，共同构成周期相位的二维表示。仅用正弦或余弦单一编码存在相位歧义问题。</w:t>
      </w:r>
    </w:p>
    <w:p w14:paraId="64177DAA" w14:textId="08411193" w:rsidR="00AE4B3B" w:rsidRDefault="00AE4B3B" w:rsidP="00AE4B3B">
      <w:pPr>
        <w:spacing w:after="60" w:line="360" w:lineRule="auto"/>
        <w:ind w:firstLine="480"/>
        <w:jc w:val="both"/>
      </w:pPr>
      <w:r>
        <w:rPr>
          <w:rFonts w:ascii="宋体" w:eastAsia="宋体" w:hAnsi="宋体"/>
          <w:sz w:val="24"/>
        </w:rPr>
        <w:lastRenderedPageBreak/>
        <w:t>这一设计思路借鉴了循环神经网络中的位置编码（Positional Encoding）</w:t>
      </w:r>
    </w:p>
    <w:p w14:paraId="743CDA7E"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连续性：编码值随时间平滑变化，不会出现跳变，有利于神经网络的学习；</w:t>
      </w:r>
    </w:p>
    <w:p w14:paraId="5D96F7A7"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周期性：天然适合刻画具有周期性规律的现象；</w:t>
      </w:r>
    </w:p>
    <w:p w14:paraId="03A7A075"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低维度：仅用两个维度即可完整刻画周期相位，状态维度增加很少。</w:t>
      </w:r>
    </w:p>
    <w:p w14:paraId="50C3535D" w14:textId="77777777" w:rsidR="00AE4B3B" w:rsidRDefault="00AE4B3B" w:rsidP="00AE4B3B">
      <w:pPr>
        <w:spacing w:before="120" w:after="60" w:line="360" w:lineRule="auto"/>
      </w:pPr>
      <w:r>
        <w:rPr>
          <w:rFonts w:ascii="黑体" w:eastAsia="黑体" w:hAnsi="黑体"/>
          <w:b/>
          <w:sz w:val="24"/>
        </w:rPr>
        <w:t>4.1.3  归一化时间</w:t>
      </w:r>
    </w:p>
    <w:p w14:paraId="7061ECBA" w14:textId="77777777" w:rsidR="00AE4B3B" w:rsidRDefault="00AE4B3B" w:rsidP="00AE4B3B">
      <w:pPr>
        <w:spacing w:before="120" w:after="120"/>
        <w:jc w:val="center"/>
      </w:pPr>
      <w:proofErr w:type="spellStart"/>
      <w:r>
        <w:rPr>
          <w:rFonts w:ascii="Times New Roman" w:eastAsia="Times New Roman" w:hAnsi="Times New Roman"/>
          <w:i/>
          <w:sz w:val="24"/>
        </w:rPr>
        <w:t>norm_t</w:t>
      </w:r>
      <w:proofErr w:type="spellEnd"/>
      <w:r>
        <w:rPr>
          <w:rFonts w:ascii="Times New Roman" w:eastAsia="Times New Roman" w:hAnsi="Times New Roman"/>
          <w:i/>
          <w:sz w:val="24"/>
        </w:rPr>
        <w:t xml:space="preserve"> = t / T</w:t>
      </w:r>
    </w:p>
    <w:p w14:paraId="77C38285" w14:textId="77777777" w:rsidR="00AE4B3B" w:rsidRDefault="00AE4B3B" w:rsidP="00AE4B3B">
      <w:pPr>
        <w:spacing w:after="60" w:line="360" w:lineRule="auto"/>
        <w:ind w:firstLine="480"/>
        <w:jc w:val="both"/>
      </w:pPr>
      <w:r>
        <w:rPr>
          <w:rFonts w:ascii="宋体" w:eastAsia="宋体" w:hAnsi="宋体"/>
          <w:sz w:val="24"/>
        </w:rPr>
        <w:t>其中T为总规划期长度。归一化时间将原始时间步t映射到[0, 1]区间，反映了当前在整个规划期中的相对位置。</w:t>
      </w:r>
    </w:p>
    <w:p w14:paraId="22731830" w14:textId="77777777" w:rsidR="00AE4B3B" w:rsidRDefault="00AE4B3B" w:rsidP="00AE4B3B">
      <w:pPr>
        <w:spacing w:after="60" w:line="360" w:lineRule="auto"/>
        <w:ind w:firstLine="480"/>
        <w:jc w:val="both"/>
      </w:pPr>
      <w:r>
        <w:rPr>
          <w:rFonts w:ascii="宋体" w:eastAsia="宋体" w:hAnsi="宋体"/>
          <w:sz w:val="24"/>
        </w:rPr>
        <w:t>归一化时间的作用是刻画规划期的全局进度。与三角函数编码关注周期内相位不同，归一化时间关注的是"离回合结束还有多远"。这一信息对于有限步MDP的决策非常重要：</w:t>
      </w:r>
    </w:p>
    <w:p w14:paraId="3473A442"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在规划期初期，智能体可以采取较激进的补货策略，因为还有足够的时间来消化库存；</w:t>
      </w:r>
    </w:p>
    <w:p w14:paraId="53714201" w14:textId="77777777" w:rsidR="00AE4B3B" w:rsidRDefault="00AE4B3B" w:rsidP="00AE4B3B">
      <w:pPr>
        <w:pStyle w:val="a"/>
        <w:tabs>
          <w:tab w:val="num" w:pos="360"/>
        </w:tabs>
        <w:spacing w:after="60" w:line="360" w:lineRule="auto"/>
        <w:ind w:left="360" w:hanging="360"/>
        <w:rPr>
          <w:lang w:eastAsia="zh-CN"/>
        </w:rPr>
      </w:pPr>
      <w:r>
        <w:rPr>
          <w:rFonts w:ascii="宋体" w:eastAsia="宋体" w:hAnsi="宋体"/>
          <w:sz w:val="24"/>
          <w:lang w:eastAsia="zh-CN"/>
        </w:rPr>
        <w:t>在规划期末期，智能体应该采取较保守的补货策略，避免期末库存积压（尤其是对于有有效期的药品）。</w:t>
      </w:r>
    </w:p>
    <w:p w14:paraId="1CD20325" w14:textId="77777777" w:rsidR="00AE4B3B" w:rsidRDefault="00AE4B3B" w:rsidP="00AE4B3B">
      <w:pPr>
        <w:spacing w:before="240" w:after="120" w:line="360" w:lineRule="auto"/>
      </w:pPr>
      <w:r>
        <w:rPr>
          <w:rFonts w:ascii="黑体" w:eastAsia="黑体" w:hAnsi="黑体"/>
          <w:b/>
          <w:sz w:val="28"/>
        </w:rPr>
        <w:t>5.4  有限步设定对策略学习的影响</w:t>
      </w:r>
    </w:p>
    <w:p w14:paraId="107BE5E8" w14:textId="77777777" w:rsidR="00AE4B3B" w:rsidRDefault="00AE4B3B" w:rsidP="00AE4B3B">
      <w:pPr>
        <w:spacing w:after="60" w:line="360" w:lineRule="auto"/>
        <w:ind w:firstLine="480"/>
        <w:jc w:val="both"/>
      </w:pPr>
      <w:r>
        <w:rPr>
          <w:rFonts w:ascii="宋体" w:eastAsia="宋体" w:hAnsi="宋体"/>
          <w:sz w:val="24"/>
        </w:rPr>
        <w:t>（1）期末效应（End-of-Horizon Effect）：在规划期的最后几期，智能体会倾向于减少补货甚至不补货，因为剩余时间不多，补的货可能来不及销售，造成期末库存积压。这种期末效应是有限步MDP的固有特征，也是有限步与无限步策略的重要区别之一。</w:t>
      </w:r>
    </w:p>
    <w:p w14:paraId="7C2FBDE2" w14:textId="77777777" w:rsidR="00AE4B3B" w:rsidRDefault="00AE4B3B" w:rsidP="00AE4B3B">
      <w:pPr>
        <w:spacing w:after="60" w:line="360" w:lineRule="auto"/>
        <w:ind w:firstLine="480"/>
        <w:jc w:val="both"/>
      </w:pPr>
      <w:r>
        <w:rPr>
          <w:rFonts w:ascii="宋体" w:eastAsia="宋体" w:hAnsi="宋体"/>
          <w:sz w:val="24"/>
        </w:rPr>
        <w:t>（2）初期建库行为：在规划期的初期，智能体需要从0库存开始逐步建立库存水平。这一阶段的补货量通常较大，策略行为与稳态阶段有所不同。</w:t>
      </w:r>
    </w:p>
    <w:p w14:paraId="4E9487AE" w14:textId="77777777" w:rsidR="00AE4B3B" w:rsidRDefault="00AE4B3B" w:rsidP="00AE4B3B">
      <w:pPr>
        <w:spacing w:after="60" w:line="360" w:lineRule="auto"/>
        <w:ind w:firstLine="480"/>
        <w:jc w:val="both"/>
      </w:pPr>
      <w:r>
        <w:rPr>
          <w:rFonts w:ascii="宋体" w:eastAsia="宋体" w:hAnsi="宋体"/>
          <w:sz w:val="24"/>
        </w:rPr>
        <w:t>（3）策略的时间依赖性：由于有限步MDP的最优策略是非平稳的（依赖于时间步t），智能体学习到的策略也会随时间变化。时间编码特征的存在使得智能体能够根据当前时间步调整策略，从而学习到非平稳的最优策略。</w:t>
      </w:r>
    </w:p>
    <w:p w14:paraId="3325EC5D" w14:textId="77777777" w:rsidR="00AE4B3B" w:rsidRDefault="00AE4B3B" w:rsidP="00AE4B3B">
      <w:pPr>
        <w:spacing w:after="60" w:line="360" w:lineRule="auto"/>
        <w:ind w:firstLine="480"/>
        <w:jc w:val="both"/>
      </w:pPr>
      <w:r>
        <w:rPr>
          <w:rFonts w:ascii="宋体" w:eastAsia="宋体" w:hAnsi="宋体"/>
          <w:sz w:val="24"/>
        </w:rPr>
        <w:t>（4）训练样本的时间分布：在回合制训练中，每个时间步的样本数量是相等的（每个回合贡献一个t时刻的样本）。这保证了智能体在每个时间步都能获得足够的学习信号，有利于学习到完整的非平稳策略。</w:t>
      </w:r>
    </w:p>
    <w:p w14:paraId="47B87B6D" w14:textId="0642617A" w:rsidR="00D878E9" w:rsidRDefault="00D878E9" w:rsidP="004A7CA1">
      <w:pPr>
        <w:pStyle w:val="a5"/>
        <w:rPr>
          <w:rFonts w:hint="eastAsia"/>
          <w:lang w:eastAsia="zh-CN"/>
        </w:rPr>
      </w:pPr>
      <w:r>
        <w:rPr>
          <w:rFonts w:hint="eastAsia"/>
          <w:lang w:eastAsia="zh-CN"/>
        </w:rPr>
        <w:lastRenderedPageBreak/>
        <w:t>论文目前大纲</w:t>
      </w:r>
      <w:r w:rsidR="004A7CA1">
        <w:rPr>
          <w:rFonts w:hint="eastAsia"/>
          <w:lang w:eastAsia="zh-CN"/>
        </w:rPr>
        <w:t>：</w:t>
      </w:r>
      <w:r>
        <w:rPr>
          <w:lang w:eastAsia="zh-CN"/>
        </w:rPr>
        <w:t>基于深度强化学习的非平稳需求与双源采购库存优化研究</w:t>
      </w:r>
      <w:r w:rsidR="004A7CA1">
        <w:rPr>
          <w:rFonts w:hint="eastAsia"/>
          <w:lang w:eastAsia="zh-CN"/>
        </w:rPr>
        <w:t xml:space="preserve"> </w:t>
      </w:r>
      <w:r w:rsidR="004A7CA1" w:rsidRPr="004A7CA1">
        <w:rPr>
          <w:rFonts w:hint="eastAsia"/>
          <w:sz w:val="21"/>
          <w:szCs w:val="21"/>
          <w:lang w:eastAsia="zh-CN"/>
        </w:rPr>
        <w:t>（6个章节）</w:t>
      </w:r>
    </w:p>
    <w:p w14:paraId="0B63E662" w14:textId="24E7D924" w:rsidR="00D878E9" w:rsidRDefault="00D878E9" w:rsidP="00D878E9">
      <w:r>
        <w:br/>
      </w:r>
    </w:p>
    <w:p w14:paraId="1289F2A7" w14:textId="77777777" w:rsidR="00D878E9" w:rsidRDefault="00D878E9" w:rsidP="00D878E9">
      <w:pPr>
        <w:pStyle w:val="1"/>
        <w:rPr>
          <w:lang w:eastAsia="zh-CN"/>
        </w:rPr>
      </w:pPr>
      <w:r>
        <w:rPr>
          <w:lang w:eastAsia="zh-CN"/>
        </w:rPr>
        <w:t>第一章 绪论 (Introduction)</w:t>
      </w:r>
    </w:p>
    <w:p w14:paraId="512EBB39" w14:textId="77777777" w:rsidR="00D878E9" w:rsidRDefault="00D878E9" w:rsidP="00D878E9">
      <w:pPr>
        <w:pStyle w:val="2"/>
        <w:rPr>
          <w:lang w:eastAsia="zh-CN"/>
        </w:rPr>
      </w:pPr>
      <w:r>
        <w:rPr>
          <w:lang w:eastAsia="zh-CN"/>
        </w:rPr>
        <w:t>1.1 研究背景与动机</w:t>
      </w:r>
    </w:p>
    <w:p w14:paraId="08D14949" w14:textId="3F423BDC" w:rsidR="00D878E9" w:rsidRDefault="00D878E9" w:rsidP="00D878E9">
      <w:r>
        <w:t>结合医药供应链（如原论文背景）的实际痛点，阐述两点现实挑战：第一，疾病爆发具有明显的季节性，导致</w:t>
      </w:r>
      <w:r w:rsidRPr="00D878E9">
        <w:rPr>
          <w:color w:val="FF0000"/>
        </w:rPr>
        <w:t>药品需求呈现非平稳特征</w:t>
      </w:r>
      <w:r>
        <w:t>；第二，生产过程存在全有或全无（All-or-nothing）的良率风险。为了保障高水平的客户服务（低缺货率），企业除了常规采购渠道外，往往需要引入高成本但无提前期且质量完全可靠的应急采购渠道（Dual-sourcing）。</w:t>
      </w:r>
    </w:p>
    <w:p w14:paraId="5FF5253F" w14:textId="77777777" w:rsidR="00D878E9" w:rsidRDefault="00D878E9" w:rsidP="00D878E9">
      <w:pPr>
        <w:pStyle w:val="2"/>
        <w:rPr>
          <w:lang w:eastAsia="zh-CN"/>
        </w:rPr>
      </w:pPr>
      <w:r>
        <w:rPr>
          <w:lang w:eastAsia="zh-CN"/>
        </w:rPr>
        <w:t>1.2 现有研究的不足</w:t>
      </w:r>
    </w:p>
    <w:p w14:paraId="5AA2D6C6" w14:textId="71E2B777" w:rsidR="00D878E9" w:rsidRDefault="00D878E9" w:rsidP="00D878E9">
      <w:r>
        <w:t>指出传统运筹学启发式方法（如WNH、LIR）</w:t>
      </w:r>
      <w:r w:rsidR="00275E60">
        <w:rPr>
          <w:rFonts w:hint="eastAsia"/>
        </w:rPr>
        <w:t>和原论文</w:t>
      </w:r>
      <w:r>
        <w:t>在处理非平稳双源复杂系统时缺乏灵活性。同时，现有将DRL应用于库存控制的文献大多局限于无限期（Infinite-horizon）和平稳需求（Stationary demand）假设，缺乏对有限期截断效应和动态周期相位的处理机制。</w:t>
      </w:r>
    </w:p>
    <w:p w14:paraId="3416518E" w14:textId="77777777" w:rsidR="00D878E9" w:rsidRDefault="00D878E9" w:rsidP="00D878E9">
      <w:pPr>
        <w:pStyle w:val="2"/>
        <w:rPr>
          <w:lang w:eastAsia="zh-CN"/>
        </w:rPr>
      </w:pPr>
      <w:r>
        <w:rPr>
          <w:lang w:eastAsia="zh-CN"/>
        </w:rPr>
        <w:t>1.3 研究内容与主要贡献</w:t>
      </w:r>
    </w:p>
    <w:p w14:paraId="57439671" w14:textId="5E19E359" w:rsidR="00D878E9" w:rsidRDefault="00D878E9" w:rsidP="00D878E9">
      <w:r>
        <w:t>本文的核心贡献：</w:t>
      </w:r>
      <w:r>
        <w:br/>
        <w:t>(1) 构建了非平稳需求+全有或全无良率+非零提前期的双源有限期 MDP 理论模型；</w:t>
      </w:r>
      <w:r>
        <w:br/>
        <w:t>(2) 创新性地引入时间感知（Time-awareness）状态空间，解决状态混淆问题；</w:t>
      </w:r>
      <w:r>
        <w:br/>
        <w:t>(3) 设计了融合多类启发式先验的“</w:t>
      </w:r>
      <w:r w:rsidRPr="00275E60">
        <w:rPr>
          <w:color w:val="FF0000"/>
        </w:rPr>
        <w:t>单Agent双输出”DRL网络架构</w:t>
      </w:r>
      <w:r>
        <w:t>，显著提升策略经济性与收敛速度。</w:t>
      </w:r>
    </w:p>
    <w:p w14:paraId="56EF4F6E" w14:textId="77777777" w:rsidR="00D878E9" w:rsidRDefault="00D878E9" w:rsidP="00D878E9">
      <w:pPr>
        <w:pStyle w:val="1"/>
      </w:pPr>
      <w:proofErr w:type="spellStart"/>
      <w:r>
        <w:t>第二章</w:t>
      </w:r>
      <w:proofErr w:type="spellEnd"/>
      <w:r>
        <w:t xml:space="preserve"> </w:t>
      </w:r>
      <w:proofErr w:type="spellStart"/>
      <w:r>
        <w:t>文献综述</w:t>
      </w:r>
      <w:proofErr w:type="spellEnd"/>
      <w:r>
        <w:t xml:space="preserve"> (Literature Review)</w:t>
      </w:r>
    </w:p>
    <w:p w14:paraId="35C71BC2" w14:textId="77777777" w:rsidR="00D878E9" w:rsidRDefault="00D878E9" w:rsidP="00D878E9">
      <w:pPr>
        <w:pStyle w:val="2"/>
      </w:pPr>
      <w:r>
        <w:t xml:space="preserve">2.1 </w:t>
      </w:r>
      <w:proofErr w:type="spellStart"/>
      <w:r>
        <w:t>随机良率与双源采购库存管理</w:t>
      </w:r>
      <w:proofErr w:type="spellEnd"/>
    </w:p>
    <w:p w14:paraId="3280B16D" w14:textId="5381E233" w:rsidR="00D878E9" w:rsidRDefault="00D878E9" w:rsidP="00D878E9">
      <w:r>
        <w:t>回顾随机良率（All-or-nothing模式）的</w:t>
      </w:r>
      <w:r w:rsidR="00275E60">
        <w:rPr>
          <w:rFonts w:hint="eastAsia"/>
        </w:rPr>
        <w:t>原</w:t>
      </w:r>
      <w:r>
        <w:t>文献，以及双渠道库存协同优化</w:t>
      </w:r>
      <w:r w:rsidR="00275E60">
        <w:rPr>
          <w:rFonts w:hint="eastAsia"/>
        </w:rPr>
        <w:t>（经典论文）</w:t>
      </w:r>
      <w:r>
        <w:t>的研究，指出维度灾难对传统动态规划（DP）求解的限制。</w:t>
      </w:r>
    </w:p>
    <w:p w14:paraId="0E23752C" w14:textId="77777777" w:rsidR="00D878E9" w:rsidRDefault="00D878E9" w:rsidP="00D878E9">
      <w:pPr>
        <w:pStyle w:val="2"/>
        <w:rPr>
          <w:lang w:eastAsia="zh-CN"/>
        </w:rPr>
      </w:pPr>
      <w:r>
        <w:rPr>
          <w:lang w:eastAsia="zh-CN"/>
        </w:rPr>
        <w:t>2.2 深度强化学习在供应链优化中的应用</w:t>
      </w:r>
    </w:p>
    <w:p w14:paraId="0152D2E8" w14:textId="38CFB06B" w:rsidR="00D878E9" w:rsidRDefault="00D878E9" w:rsidP="00D878E9"/>
    <w:p w14:paraId="7EBD5B94" w14:textId="319F775C" w:rsidR="00275E60" w:rsidRDefault="00275E60" w:rsidP="00D878E9">
      <w:pPr>
        <w:rPr>
          <w:rFonts w:hint="eastAsia"/>
        </w:rPr>
      </w:pPr>
      <w:r>
        <w:rPr>
          <w:rFonts w:hint="eastAsia"/>
        </w:rPr>
        <w:lastRenderedPageBreak/>
        <w:t>经典论文</w:t>
      </w:r>
    </w:p>
    <w:p w14:paraId="6171D16A" w14:textId="77777777" w:rsidR="00D878E9" w:rsidRDefault="00D878E9" w:rsidP="00D878E9">
      <w:pPr>
        <w:pStyle w:val="1"/>
        <w:rPr>
          <w:lang w:eastAsia="zh-CN"/>
        </w:rPr>
      </w:pPr>
      <w:r>
        <w:rPr>
          <w:lang w:eastAsia="zh-CN"/>
        </w:rPr>
        <w:t>第三章 问题描述与马尔可夫建模 (Problem Description and MDP Modeling)</w:t>
      </w:r>
    </w:p>
    <w:p w14:paraId="667BC61E" w14:textId="77777777" w:rsidR="00D878E9" w:rsidRDefault="00D878E9" w:rsidP="00D878E9">
      <w:pPr>
        <w:pStyle w:val="2"/>
        <w:rPr>
          <w:lang w:eastAsia="zh-CN"/>
        </w:rPr>
      </w:pPr>
      <w:r>
        <w:rPr>
          <w:lang w:eastAsia="zh-CN"/>
        </w:rPr>
        <w:t>3.1 供应链环境设定与时序逻辑</w:t>
      </w:r>
    </w:p>
    <w:p w14:paraId="356C66CF" w14:textId="77777777" w:rsidR="00D878E9" w:rsidRDefault="00D878E9" w:rsidP="00D878E9">
      <w:r>
        <w:t>详细描述系统的运行机制。对照代码中的单步逻辑（①常规渠道受良率影响到货；②DRL双路决策；③应急渠道零提前期即时入库；④需求实现与库存消耗；⑤成本结算与在途队列滚动）。明确成本结构：常规采购成本 c1、应急成本 c2 (c1&lt;c2&lt;b)、持有成本 h 与缺货惩罚 b。</w:t>
      </w:r>
    </w:p>
    <w:p w14:paraId="1AB0DAFC" w14:textId="77777777" w:rsidR="00D878E9" w:rsidRDefault="00D878E9" w:rsidP="00D878E9">
      <w:pPr>
        <w:pStyle w:val="2"/>
        <w:rPr>
          <w:lang w:eastAsia="zh-CN"/>
        </w:rPr>
      </w:pPr>
      <w:r>
        <w:rPr>
          <w:lang w:eastAsia="zh-CN"/>
        </w:rPr>
        <w:t>3.2 有限期马尔可夫决策过程 (Finite-Horizon MDP)</w:t>
      </w:r>
    </w:p>
    <w:p w14:paraId="0DCDA97A" w14:textId="77777777" w:rsidR="00D878E9" w:rsidRDefault="00D878E9" w:rsidP="00D878E9">
      <w:r>
        <w:t>将问题严格定义为长度为 T 的有限步强化学习任务。</w:t>
      </w:r>
    </w:p>
    <w:p w14:paraId="25EB5C14" w14:textId="77777777" w:rsidR="00D878E9" w:rsidRDefault="00D878E9" w:rsidP="00D878E9">
      <w:pPr>
        <w:pStyle w:val="a"/>
        <w:tabs>
          <w:tab w:val="num" w:pos="360"/>
        </w:tabs>
        <w:ind w:left="360" w:hanging="360"/>
      </w:pPr>
      <w:proofErr w:type="spellStart"/>
      <w:r>
        <w:rPr>
          <w:b/>
        </w:rPr>
        <w:t>时间感知状态空间</w:t>
      </w:r>
      <w:proofErr w:type="spellEnd"/>
      <w:r>
        <w:rPr>
          <w:b/>
        </w:rPr>
        <w:t xml:space="preserve"> (State)：</w:t>
      </w:r>
      <w:proofErr w:type="spellStart"/>
      <w:r>
        <w:t>剖析</w:t>
      </w:r>
      <w:proofErr w:type="spellEnd"/>
      <w:r>
        <w:t xml:space="preserve"> </w:t>
      </w:r>
      <w:proofErr w:type="spellStart"/>
      <w:r>
        <w:t>s_t</w:t>
      </w:r>
      <w:proofErr w:type="spellEnd"/>
      <w:r>
        <w:t xml:space="preserve"> = [S_L, </w:t>
      </w:r>
      <w:proofErr w:type="spellStart"/>
      <w:r>
        <w:t>I_t</w:t>
      </w:r>
      <w:proofErr w:type="spellEnd"/>
      <w:r>
        <w:t xml:space="preserve">, </w:t>
      </w:r>
      <w:proofErr w:type="spellStart"/>
      <w:r>
        <w:t>q_vector</w:t>
      </w:r>
      <w:proofErr w:type="spellEnd"/>
      <w:r>
        <w:t>, sin, cos, t/</w:t>
      </w:r>
      <w:proofErr w:type="gramStart"/>
      <w:r>
        <w:t>T]。</w:t>
      </w:r>
      <w:proofErr w:type="spellStart"/>
      <w:proofErr w:type="gramEnd"/>
      <w:r>
        <w:t>详细解释正余弦特征捕捉季节相位的机理，以及归一化时间</w:t>
      </w:r>
      <w:proofErr w:type="spellEnd"/>
      <w:r>
        <w:t xml:space="preserve"> t/T </w:t>
      </w:r>
      <w:proofErr w:type="spellStart"/>
      <w:r>
        <w:t>引导智能体学习期末收尾策略（防止常规渠道提前期死角进货）的数学逻辑</w:t>
      </w:r>
      <w:proofErr w:type="spellEnd"/>
      <w:r>
        <w:t>。</w:t>
      </w:r>
    </w:p>
    <w:p w14:paraId="51382BEE" w14:textId="77777777" w:rsidR="00D878E9" w:rsidRDefault="00D878E9" w:rsidP="00D878E9">
      <w:pPr>
        <w:pStyle w:val="a"/>
        <w:tabs>
          <w:tab w:val="num" w:pos="360"/>
        </w:tabs>
        <w:ind w:left="360" w:hanging="360"/>
        <w:rPr>
          <w:lang w:eastAsia="zh-CN"/>
        </w:rPr>
      </w:pPr>
      <w:r>
        <w:rPr>
          <w:b/>
          <w:lang w:eastAsia="zh-CN"/>
        </w:rPr>
        <w:t>双路动作空间 (Action)：</w:t>
      </w:r>
      <w:r>
        <w:rPr>
          <w:lang w:eastAsia="zh-CN"/>
        </w:rPr>
        <w:t>(q1, q2)，q1为常规订货量（受良率扰动），q2为应急订货量。</w:t>
      </w:r>
    </w:p>
    <w:p w14:paraId="72FA19EE" w14:textId="7B1EFC84" w:rsidR="00D878E9" w:rsidRDefault="00D878E9" w:rsidP="00D878E9">
      <w:pPr>
        <w:pStyle w:val="a"/>
        <w:tabs>
          <w:tab w:val="num" w:pos="360"/>
        </w:tabs>
        <w:ind w:left="360" w:hanging="360"/>
      </w:pPr>
      <w:proofErr w:type="spellStart"/>
      <w:r>
        <w:rPr>
          <w:b/>
        </w:rPr>
        <w:t>成本函数</w:t>
      </w:r>
      <w:proofErr w:type="spellEnd"/>
      <w:r>
        <w:rPr>
          <w:b/>
        </w:rPr>
        <w:t xml:space="preserve"> (Reward/</w:t>
      </w:r>
      <w:proofErr w:type="gramStart"/>
      <w:r>
        <w:rPr>
          <w:b/>
        </w:rPr>
        <w:t>Cost)：</w:t>
      </w:r>
      <w:proofErr w:type="spellStart"/>
      <w:proofErr w:type="gramEnd"/>
      <w:r>
        <w:t>描述折扣累计成本目标函数</w:t>
      </w:r>
      <w:proofErr w:type="spellEnd"/>
      <w:r>
        <w:t>。</w:t>
      </w:r>
      <w:r w:rsidR="00275E60">
        <w:rPr>
          <w:rFonts w:hint="eastAsia"/>
          <w:lang w:eastAsia="zh-CN"/>
        </w:rPr>
        <w:t>（成本函数复用原来的建模）</w:t>
      </w:r>
      <w:r w:rsidR="00275E60">
        <w:rPr>
          <w:lang w:eastAsia="zh-CN"/>
        </w:rPr>
        <w:br/>
      </w:r>
    </w:p>
    <w:p w14:paraId="7FC1C2CF" w14:textId="77777777" w:rsidR="00D878E9" w:rsidRDefault="00D878E9" w:rsidP="00D878E9">
      <w:pPr>
        <w:pStyle w:val="1"/>
      </w:pPr>
      <w:proofErr w:type="spellStart"/>
      <w:r>
        <w:t>第四章</w:t>
      </w:r>
      <w:proofErr w:type="spellEnd"/>
      <w:r>
        <w:t xml:space="preserve"> </w:t>
      </w:r>
      <w:proofErr w:type="spellStart"/>
      <w:r>
        <w:t>启发式基线与扩展DRL求解架构</w:t>
      </w:r>
      <w:proofErr w:type="spellEnd"/>
      <w:r>
        <w:t xml:space="preserve"> (Methodology: Heuristics and DRL Architecture)</w:t>
      </w:r>
    </w:p>
    <w:p w14:paraId="475B6913" w14:textId="77777777" w:rsidR="00D878E9" w:rsidRDefault="00D878E9" w:rsidP="00D878E9">
      <w:pPr>
        <w:pStyle w:val="2"/>
      </w:pPr>
      <w:r>
        <w:t xml:space="preserve">4.1 </w:t>
      </w:r>
      <w:proofErr w:type="spellStart"/>
      <w:r>
        <w:t>传统启发式策略</w:t>
      </w:r>
      <w:proofErr w:type="spellEnd"/>
      <w:r>
        <w:t xml:space="preserve"> (Benchmark Policies)</w:t>
      </w:r>
    </w:p>
    <w:p w14:paraId="18DACAB5" w14:textId="5F84BCE2" w:rsidR="00D878E9" w:rsidRDefault="00D878E9" w:rsidP="00D878E9">
      <w:r>
        <w:t>代码实现，介绍对比基准策略：</w:t>
      </w:r>
      <w:r>
        <w:br/>
        <w:t>(1) LIR (Linear Inflation Rule)；</w:t>
      </w:r>
      <w:r>
        <w:br/>
        <w:t>(2) WNH (Weighted Newsvendor Heuristic)：常规渠道启发式；</w:t>
      </w:r>
      <w:r>
        <w:br/>
        <w:t>(3) NV (Newsvendor)：纯应急报童启发式；</w:t>
      </w:r>
      <w:r>
        <w:br/>
        <w:t>(4) HEUR (Combined)：WNH与NV的简单组合（作为DRL教师策略与相对Loss分母）。</w:t>
      </w:r>
    </w:p>
    <w:p w14:paraId="1C9F3C33" w14:textId="77777777" w:rsidR="00D878E9" w:rsidRDefault="00D878E9" w:rsidP="00D878E9">
      <w:pPr>
        <w:pStyle w:val="2"/>
        <w:rPr>
          <w:lang w:eastAsia="zh-CN"/>
        </w:rPr>
      </w:pPr>
      <w:r>
        <w:rPr>
          <w:lang w:eastAsia="zh-CN"/>
        </w:rPr>
        <w:t>4.2 融合先验知识的单Agent双输出DRL架构</w:t>
      </w:r>
    </w:p>
    <w:p w14:paraId="23D53E15" w14:textId="6106A1B5" w:rsidR="00D878E9" w:rsidRDefault="00D878E9" w:rsidP="00D878E9">
      <w:r>
        <w:t>核心算法描述，</w:t>
      </w:r>
      <w:r w:rsidR="00275E60">
        <w:rPr>
          <w:rFonts w:hint="eastAsia"/>
        </w:rPr>
        <w:t>结合</w:t>
      </w:r>
      <w:r>
        <w:t xml:space="preserve"> `train_dual.py` </w:t>
      </w:r>
      <w:r w:rsidR="00275E60">
        <w:rPr>
          <w:rFonts w:hint="eastAsia"/>
        </w:rPr>
        <w:t>双头训练代码</w:t>
      </w:r>
      <w:r>
        <w:t>中的网络设计：</w:t>
      </w:r>
    </w:p>
    <w:p w14:paraId="46BB5F08" w14:textId="77777777" w:rsidR="00D878E9" w:rsidRDefault="00D878E9" w:rsidP="00D878E9">
      <w:pPr>
        <w:pStyle w:val="a"/>
        <w:tabs>
          <w:tab w:val="num" w:pos="360"/>
        </w:tabs>
        <w:ind w:left="360" w:hanging="360"/>
        <w:rPr>
          <w:lang w:eastAsia="zh-CN"/>
        </w:rPr>
      </w:pPr>
      <w:r>
        <w:rPr>
          <w:b/>
          <w:lang w:eastAsia="zh-CN"/>
        </w:rPr>
        <w:t>网络层结构：</w:t>
      </w:r>
      <w:r>
        <w:rPr>
          <w:lang w:eastAsia="zh-CN"/>
        </w:rPr>
        <w:t>输入层接受带时间特征的状态，经过全连接层 (16-32-32) 提取特征。</w:t>
      </w:r>
    </w:p>
    <w:p w14:paraId="1D39809D" w14:textId="77777777" w:rsidR="00D878E9" w:rsidRDefault="00D878E9" w:rsidP="00D878E9">
      <w:pPr>
        <w:pStyle w:val="a"/>
        <w:tabs>
          <w:tab w:val="num" w:pos="360"/>
        </w:tabs>
        <w:ind w:left="360" w:hanging="360"/>
        <w:rPr>
          <w:lang w:eastAsia="zh-CN"/>
        </w:rPr>
      </w:pPr>
      <w:r>
        <w:rPr>
          <w:b/>
          <w:lang w:eastAsia="zh-CN"/>
        </w:rPr>
        <w:t>常规输出设计 (q1)：</w:t>
      </w:r>
      <w:r>
        <w:rPr>
          <w:lang w:eastAsia="zh-CN"/>
        </w:rPr>
        <w:t xml:space="preserve">输出 2^(L-1) 维 logits 经 </w:t>
      </w:r>
      <w:proofErr w:type="spellStart"/>
      <w:r>
        <w:rPr>
          <w:lang w:eastAsia="zh-CN"/>
        </w:rPr>
        <w:t>Softmax</w:t>
      </w:r>
      <w:proofErr w:type="spellEnd"/>
      <w:r>
        <w:rPr>
          <w:lang w:eastAsia="zh-CN"/>
        </w:rPr>
        <w:t xml:space="preserve"> 后，在 WNH 老师权重的界限内作路径加权。</w:t>
      </w:r>
    </w:p>
    <w:p w14:paraId="4207BE2F" w14:textId="77777777" w:rsidR="00D878E9" w:rsidRDefault="00D878E9" w:rsidP="00D878E9">
      <w:pPr>
        <w:pStyle w:val="a"/>
        <w:tabs>
          <w:tab w:val="num" w:pos="360"/>
        </w:tabs>
        <w:ind w:left="360" w:hanging="360"/>
        <w:rPr>
          <w:lang w:eastAsia="zh-CN"/>
        </w:rPr>
      </w:pPr>
      <w:r>
        <w:rPr>
          <w:b/>
          <w:lang w:eastAsia="zh-CN"/>
        </w:rPr>
        <w:lastRenderedPageBreak/>
        <w:t>应急输出设计 (q2)：</w:t>
      </w:r>
      <w:r>
        <w:rPr>
          <w:lang w:eastAsia="zh-CN"/>
        </w:rPr>
        <w:t>输出 1 维标量，利用 tanh 函数限定在纯报童安全水位 S0 的倍数区间内（1 ± EPS_Q2），实现受限探索。</w:t>
      </w:r>
    </w:p>
    <w:p w14:paraId="3E17DEED" w14:textId="77777777" w:rsidR="00D878E9" w:rsidRDefault="00D878E9" w:rsidP="00D878E9">
      <w:pPr>
        <w:pStyle w:val="a"/>
        <w:tabs>
          <w:tab w:val="num" w:pos="360"/>
        </w:tabs>
        <w:ind w:left="360" w:hanging="360"/>
      </w:pPr>
      <w:proofErr w:type="spellStart"/>
      <w:r>
        <w:rPr>
          <w:b/>
        </w:rPr>
        <w:t>相对损失函数设计：</w:t>
      </w:r>
      <w:r>
        <w:t>描述采用指数化相对损失</w:t>
      </w:r>
      <w:proofErr w:type="spellEnd"/>
      <w:r>
        <w:t xml:space="preserve"> loss = </w:t>
      </w:r>
      <w:proofErr w:type="gramStart"/>
      <w:r>
        <w:t>exp(</w:t>
      </w:r>
      <w:proofErr w:type="gramEnd"/>
      <w:r>
        <w:t>(cost/</w:t>
      </w:r>
      <w:proofErr w:type="spellStart"/>
      <w:r>
        <w:t>benchmark_cost</w:t>
      </w:r>
      <w:proofErr w:type="spellEnd"/>
      <w:r>
        <w:t xml:space="preserve"> - </w:t>
      </w:r>
      <w:proofErr w:type="gramStart"/>
      <w:r>
        <w:t>1)*100)，</w:t>
      </w:r>
      <w:proofErr w:type="spellStart"/>
      <w:proofErr w:type="gramEnd"/>
      <w:r>
        <w:t>平滑巨大方差、加速收敛的工程价值</w:t>
      </w:r>
      <w:proofErr w:type="spellEnd"/>
      <w:r>
        <w:t>。</w:t>
      </w:r>
    </w:p>
    <w:p w14:paraId="34CFF95F" w14:textId="77777777" w:rsidR="00D878E9" w:rsidRDefault="00D878E9" w:rsidP="00D878E9">
      <w:pPr>
        <w:pStyle w:val="1"/>
      </w:pPr>
      <w:proofErr w:type="spellStart"/>
      <w:r>
        <w:t>第五章</w:t>
      </w:r>
      <w:proofErr w:type="spellEnd"/>
      <w:r>
        <w:t xml:space="preserve"> </w:t>
      </w:r>
      <w:proofErr w:type="spellStart"/>
      <w:r>
        <w:t>数值实验与结果分析</w:t>
      </w:r>
      <w:proofErr w:type="spellEnd"/>
      <w:r>
        <w:t xml:space="preserve"> (Numerical Experiments and Analysis)</w:t>
      </w:r>
    </w:p>
    <w:p w14:paraId="299E9219" w14:textId="77777777" w:rsidR="00D878E9" w:rsidRDefault="00D878E9" w:rsidP="00D878E9">
      <w:r>
        <w:t>说明统一的实验平台设定（种子控制、N次蒙特卡洛评估），保证公平性。</w:t>
      </w:r>
    </w:p>
    <w:p w14:paraId="435781BA" w14:textId="77777777" w:rsidR="00D878E9" w:rsidRDefault="00D878E9" w:rsidP="00D878E9">
      <w:pPr>
        <w:pStyle w:val="2"/>
      </w:pPr>
      <w:r>
        <w:t xml:space="preserve">5.1 </w:t>
      </w:r>
      <w:proofErr w:type="spellStart"/>
      <w:r>
        <w:t>实验一：季节性需求扩展有效性验证</w:t>
      </w:r>
      <w:proofErr w:type="spellEnd"/>
      <w:r>
        <w:t xml:space="preserve"> (Seasonal Demand Scenarios)</w:t>
      </w:r>
    </w:p>
    <w:p w14:paraId="0F18A2B3" w14:textId="77777777" w:rsidR="00D878E9" w:rsidRDefault="00D878E9" w:rsidP="00D878E9">
      <w:r>
        <w:t>分析单源+季节性场景（对照 main_seasonal.py）。探讨不同季节振幅 A 下，DRL-seasonal 相较于 WNH 的成本节约，绘制旺季缺货率与淡季库存水平对比曲线。证明时间特征在平滑波峰波谷中的作用。</w:t>
      </w:r>
    </w:p>
    <w:p w14:paraId="3F26769B" w14:textId="77777777" w:rsidR="00D878E9" w:rsidRDefault="00D878E9" w:rsidP="00D878E9">
      <w:pPr>
        <w:pStyle w:val="2"/>
        <w:rPr>
          <w:lang w:eastAsia="zh-CN"/>
        </w:rPr>
      </w:pPr>
      <w:r>
        <w:rPr>
          <w:lang w:eastAsia="zh-CN"/>
        </w:rPr>
        <w:t>5.2 实验二：双源采购机制有效性验证 (Dual Sourcing Scenarios)</w:t>
      </w:r>
    </w:p>
    <w:p w14:paraId="41A10062" w14:textId="77777777" w:rsidR="00D878E9" w:rsidRDefault="00D878E9" w:rsidP="00D878E9">
      <w:r>
        <w:t>分析双源+稳态场景。对比单源DRL、双源HEUR与双源DRL。解释DRL如何学会“常规适当降库，应急精准兜底”的非线性协同优化，超越简单启发式组合。</w:t>
      </w:r>
    </w:p>
    <w:p w14:paraId="589894E7" w14:textId="77777777" w:rsidR="00D878E9" w:rsidRDefault="00D878E9" w:rsidP="00D878E9">
      <w:pPr>
        <w:pStyle w:val="2"/>
      </w:pPr>
      <w:r>
        <w:t xml:space="preserve">5.3 </w:t>
      </w:r>
      <w:proofErr w:type="spellStart"/>
      <w:r>
        <w:t>实验三：双扩展联合效能验证</w:t>
      </w:r>
      <w:proofErr w:type="spellEnd"/>
      <w:r>
        <w:t xml:space="preserve"> (Combined Full Model)</w:t>
      </w:r>
    </w:p>
    <w:p w14:paraId="709551EF" w14:textId="77777777" w:rsidR="00D878E9" w:rsidRDefault="00D878E9" w:rsidP="00D878E9">
      <w:r>
        <w:t>分析本文最终的“季节性+双源”场景（对照 main_dual.py 全参数运行）。探讨应急成本 c2 与缺货惩罚 b 变化时，DRL如何自适应调整双渠道的触发频率。</w:t>
      </w:r>
    </w:p>
    <w:p w14:paraId="2B752CDF" w14:textId="77777777" w:rsidR="00D878E9" w:rsidRDefault="00D878E9" w:rsidP="00D878E9">
      <w:pPr>
        <w:pStyle w:val="2"/>
        <w:rPr>
          <w:lang w:eastAsia="zh-CN"/>
        </w:rPr>
      </w:pPr>
      <w:r>
        <w:rPr>
          <w:lang w:eastAsia="zh-CN"/>
        </w:rPr>
        <w:t>5.4 实验四：消融实验 (Ablation Study)</w:t>
      </w:r>
    </w:p>
    <w:p w14:paraId="494721D5" w14:textId="77777777" w:rsidR="00D878E9" w:rsidRDefault="00D878E9" w:rsidP="00D878E9">
      <w:r>
        <w:t>剖析不同模块的价值：</w:t>
      </w:r>
      <w:r>
        <w:br/>
        <w:t>(1) 移除 t/T：分析末期无效订货导致的成本上升；</w:t>
      </w:r>
      <w:r>
        <w:br/>
        <w:t>(2) 移除 sin/cos：分析智能体面对周期波动出现“状态混淆”导致的性能崩塌；</w:t>
      </w:r>
      <w:r>
        <w:br/>
        <w:t>(3) 移除教师约束（EPS_Q2或WNH约束）：分析网络收敛速度与稳定性的下降。</w:t>
      </w:r>
    </w:p>
    <w:p w14:paraId="48E9B268" w14:textId="77777777" w:rsidR="00D878E9" w:rsidRDefault="00D878E9" w:rsidP="00D878E9">
      <w:pPr>
        <w:pStyle w:val="1"/>
        <w:rPr>
          <w:lang w:eastAsia="zh-CN"/>
        </w:rPr>
      </w:pPr>
      <w:r>
        <w:rPr>
          <w:lang w:eastAsia="zh-CN"/>
        </w:rPr>
        <w:t>第六章 结论与管理启示 (Conclusion and Managerial Insights)</w:t>
      </w:r>
    </w:p>
    <w:p w14:paraId="486E2B4E" w14:textId="77777777" w:rsidR="00D878E9" w:rsidRDefault="00D878E9" w:rsidP="00D878E9">
      <w:pPr>
        <w:pStyle w:val="2"/>
        <w:rPr>
          <w:lang w:eastAsia="zh-CN"/>
        </w:rPr>
      </w:pPr>
      <w:r>
        <w:rPr>
          <w:lang w:eastAsia="zh-CN"/>
        </w:rPr>
        <w:t>6.1 主要结论</w:t>
      </w:r>
    </w:p>
    <w:p w14:paraId="45801BEA" w14:textId="77777777" w:rsidR="00D878E9" w:rsidRDefault="00D878E9" w:rsidP="00D878E9">
      <w:r>
        <w:t>总结研究发现，重申带时间感知的有限期双源DRL模型在复杂系统优化中的绝对优势。</w:t>
      </w:r>
    </w:p>
    <w:p w14:paraId="5EBBABE9" w14:textId="77777777" w:rsidR="00D878E9" w:rsidRDefault="00D878E9" w:rsidP="00D878E9">
      <w:pPr>
        <w:pStyle w:val="2"/>
        <w:rPr>
          <w:lang w:eastAsia="zh-CN"/>
        </w:rPr>
      </w:pPr>
      <w:r>
        <w:rPr>
          <w:lang w:eastAsia="zh-CN"/>
        </w:rPr>
        <w:t>6.2 管理启示</w:t>
      </w:r>
    </w:p>
    <w:p w14:paraId="60BEE38F" w14:textId="77777777" w:rsidR="00D878E9" w:rsidRDefault="00D878E9" w:rsidP="00D878E9">
      <w:r>
        <w:t>为企业管理者提供建议：面对季节性，不要使用静态阈值；面对供应风险，合理配置应急通道并用AI寻找非直觉的动态平衡点，而不是简单叠加两个渠道。</w:t>
      </w:r>
    </w:p>
    <w:p w14:paraId="162CBD98" w14:textId="77777777" w:rsidR="00D878E9" w:rsidRDefault="00D878E9" w:rsidP="00D878E9">
      <w:pPr>
        <w:pStyle w:val="2"/>
      </w:pPr>
      <w:r>
        <w:t xml:space="preserve">6.3 </w:t>
      </w:r>
      <w:proofErr w:type="spellStart"/>
      <w:r>
        <w:t>局限性与未来展望</w:t>
      </w:r>
      <w:proofErr w:type="spellEnd"/>
    </w:p>
    <w:p w14:paraId="7D6D8513" w14:textId="4D721F20" w:rsidR="00E63848" w:rsidRPr="00AE4B3B" w:rsidRDefault="00D878E9" w:rsidP="00D878E9">
      <w:pPr>
        <w:spacing w:before="120" w:after="120" w:line="288" w:lineRule="auto"/>
        <w:rPr>
          <w:rFonts w:hint="eastAsia"/>
          <w:sz w:val="28"/>
          <w:szCs w:val="28"/>
        </w:rPr>
      </w:pPr>
      <w:r>
        <w:t>可提及未来可以扩展到多级供应链（Multi-echelon）、考虑固定订货成本（Batch Ordering）或引入连续动作空间算法（如SAC）等。</w:t>
      </w:r>
    </w:p>
    <w:sectPr w:rsidR="00E63848" w:rsidRPr="00AE4B3B">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ED8997" w14:textId="77777777" w:rsidR="00322153" w:rsidRDefault="00322153">
      <w:pPr>
        <w:spacing w:after="0" w:line="240" w:lineRule="auto"/>
      </w:pPr>
      <w:r>
        <w:separator/>
      </w:r>
    </w:p>
  </w:endnote>
  <w:endnote w:type="continuationSeparator" w:id="0">
    <w:p w14:paraId="00ACEE46" w14:textId="77777777" w:rsidR="00322153" w:rsidRDefault="003221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C6860" w14:textId="77777777" w:rsidR="00EF5C24" w:rsidRDefault="00EF5C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4D769F" w14:textId="77777777" w:rsidR="00322153" w:rsidRDefault="00322153">
      <w:pPr>
        <w:spacing w:after="0" w:line="240" w:lineRule="auto"/>
      </w:pPr>
      <w:r>
        <w:separator/>
      </w:r>
    </w:p>
  </w:footnote>
  <w:footnote w:type="continuationSeparator" w:id="0">
    <w:p w14:paraId="57C18AE5" w14:textId="77777777" w:rsidR="00322153" w:rsidRDefault="003221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F177EB" w14:textId="77777777" w:rsidR="00EF5C24" w:rsidRDefault="00EF5C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3F8FC8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5456AE"/>
    <w:multiLevelType w:val="multilevel"/>
    <w:tmpl w:val="4830E93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8447F1"/>
    <w:multiLevelType w:val="multilevel"/>
    <w:tmpl w:val="7CB6AE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C20090"/>
    <w:multiLevelType w:val="multilevel"/>
    <w:tmpl w:val="66263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D6465A"/>
    <w:multiLevelType w:val="multilevel"/>
    <w:tmpl w:val="45FE7E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9F64E16"/>
    <w:multiLevelType w:val="multilevel"/>
    <w:tmpl w:val="B734DF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6D1C4B"/>
    <w:multiLevelType w:val="multilevel"/>
    <w:tmpl w:val="24704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B9E2FE5"/>
    <w:multiLevelType w:val="multilevel"/>
    <w:tmpl w:val="2B68B3A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FD4B96"/>
    <w:multiLevelType w:val="multilevel"/>
    <w:tmpl w:val="1B32AB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10D2AFD"/>
    <w:multiLevelType w:val="multilevel"/>
    <w:tmpl w:val="DEF4B05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22B7595"/>
    <w:multiLevelType w:val="multilevel"/>
    <w:tmpl w:val="6D24600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D82DA1"/>
    <w:multiLevelType w:val="multilevel"/>
    <w:tmpl w:val="5A6E8F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694842"/>
    <w:multiLevelType w:val="multilevel"/>
    <w:tmpl w:val="A90A7D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9143D6"/>
    <w:multiLevelType w:val="multilevel"/>
    <w:tmpl w:val="3D60EF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A33118"/>
    <w:multiLevelType w:val="multilevel"/>
    <w:tmpl w:val="5B2885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06691A"/>
    <w:multiLevelType w:val="multilevel"/>
    <w:tmpl w:val="9F1473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1ED0DEC"/>
    <w:multiLevelType w:val="multilevel"/>
    <w:tmpl w:val="773CCC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367C5A"/>
    <w:multiLevelType w:val="multilevel"/>
    <w:tmpl w:val="A0CC5F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B4587A"/>
    <w:multiLevelType w:val="multilevel"/>
    <w:tmpl w:val="F970D2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9176138"/>
    <w:multiLevelType w:val="multilevel"/>
    <w:tmpl w:val="BEAC40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D1060A5"/>
    <w:multiLevelType w:val="multilevel"/>
    <w:tmpl w:val="EB44404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24A46D0"/>
    <w:multiLevelType w:val="multilevel"/>
    <w:tmpl w:val="C2802D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36D6759"/>
    <w:multiLevelType w:val="multilevel"/>
    <w:tmpl w:val="0A0824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3BE11EC"/>
    <w:multiLevelType w:val="multilevel"/>
    <w:tmpl w:val="8A4ABF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AAD1BBD"/>
    <w:multiLevelType w:val="multilevel"/>
    <w:tmpl w:val="C5967E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AB41FAF"/>
    <w:multiLevelType w:val="multilevel"/>
    <w:tmpl w:val="6616E23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E2D5CA2"/>
    <w:multiLevelType w:val="multilevel"/>
    <w:tmpl w:val="035890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ED61F71"/>
    <w:multiLevelType w:val="multilevel"/>
    <w:tmpl w:val="F14C8CA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3711DD"/>
    <w:multiLevelType w:val="multilevel"/>
    <w:tmpl w:val="E4C27B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879625C"/>
    <w:multiLevelType w:val="multilevel"/>
    <w:tmpl w:val="7FF8B1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AD60F98"/>
    <w:multiLevelType w:val="multilevel"/>
    <w:tmpl w:val="D974D2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BB0339F"/>
    <w:multiLevelType w:val="multilevel"/>
    <w:tmpl w:val="3DA8D7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C6557EC"/>
    <w:multiLevelType w:val="multilevel"/>
    <w:tmpl w:val="8258D8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E16E4C"/>
    <w:multiLevelType w:val="multilevel"/>
    <w:tmpl w:val="4B30DE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019734A"/>
    <w:multiLevelType w:val="multilevel"/>
    <w:tmpl w:val="66DEE62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3894263"/>
    <w:multiLevelType w:val="multilevel"/>
    <w:tmpl w:val="3BB050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5A2048"/>
    <w:multiLevelType w:val="multilevel"/>
    <w:tmpl w:val="2BF244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AC37663"/>
    <w:multiLevelType w:val="multilevel"/>
    <w:tmpl w:val="20F6CF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C972587"/>
    <w:multiLevelType w:val="multilevel"/>
    <w:tmpl w:val="E010486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E586FF1"/>
    <w:multiLevelType w:val="multilevel"/>
    <w:tmpl w:val="95A2FC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0FE1D1B"/>
    <w:multiLevelType w:val="multilevel"/>
    <w:tmpl w:val="9CFE3D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18679B6"/>
    <w:multiLevelType w:val="multilevel"/>
    <w:tmpl w:val="38BA85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A5C75B9"/>
    <w:multiLevelType w:val="multilevel"/>
    <w:tmpl w:val="2F46F1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B1B067E"/>
    <w:multiLevelType w:val="multilevel"/>
    <w:tmpl w:val="6450D51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DC84653"/>
    <w:multiLevelType w:val="multilevel"/>
    <w:tmpl w:val="349812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EE73541"/>
    <w:multiLevelType w:val="multilevel"/>
    <w:tmpl w:val="650290E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3469463">
    <w:abstractNumId w:val="5"/>
  </w:num>
  <w:num w:numId="2" w16cid:durableId="2088114446">
    <w:abstractNumId w:val="15"/>
  </w:num>
  <w:num w:numId="3" w16cid:durableId="1778255127">
    <w:abstractNumId w:val="40"/>
  </w:num>
  <w:num w:numId="4" w16cid:durableId="718436698">
    <w:abstractNumId w:val="14"/>
  </w:num>
  <w:num w:numId="5" w16cid:durableId="1613004187">
    <w:abstractNumId w:val="9"/>
  </w:num>
  <w:num w:numId="6" w16cid:durableId="1793359854">
    <w:abstractNumId w:val="7"/>
  </w:num>
  <w:num w:numId="7" w16cid:durableId="117921535">
    <w:abstractNumId w:val="24"/>
  </w:num>
  <w:num w:numId="8" w16cid:durableId="907157715">
    <w:abstractNumId w:val="8"/>
  </w:num>
  <w:num w:numId="9" w16cid:durableId="1560247890">
    <w:abstractNumId w:val="42"/>
  </w:num>
  <w:num w:numId="10" w16cid:durableId="1744714225">
    <w:abstractNumId w:val="11"/>
  </w:num>
  <w:num w:numId="11" w16cid:durableId="2136676137">
    <w:abstractNumId w:val="13"/>
  </w:num>
  <w:num w:numId="12" w16cid:durableId="777718649">
    <w:abstractNumId w:val="2"/>
  </w:num>
  <w:num w:numId="13" w16cid:durableId="305210956">
    <w:abstractNumId w:val="36"/>
  </w:num>
  <w:num w:numId="14" w16cid:durableId="1115566037">
    <w:abstractNumId w:val="35"/>
  </w:num>
  <w:num w:numId="15" w16cid:durableId="351417634">
    <w:abstractNumId w:val="19"/>
  </w:num>
  <w:num w:numId="16" w16cid:durableId="1511677660">
    <w:abstractNumId w:val="33"/>
  </w:num>
  <w:num w:numId="17" w16cid:durableId="1602831266">
    <w:abstractNumId w:val="16"/>
  </w:num>
  <w:num w:numId="18" w16cid:durableId="1094479683">
    <w:abstractNumId w:val="20"/>
  </w:num>
  <w:num w:numId="19" w16cid:durableId="945773811">
    <w:abstractNumId w:val="45"/>
  </w:num>
  <w:num w:numId="20" w16cid:durableId="1320813570">
    <w:abstractNumId w:val="39"/>
  </w:num>
  <w:num w:numId="21" w16cid:durableId="2053844901">
    <w:abstractNumId w:val="28"/>
  </w:num>
  <w:num w:numId="22" w16cid:durableId="74014755">
    <w:abstractNumId w:val="32"/>
  </w:num>
  <w:num w:numId="23" w16cid:durableId="53163388">
    <w:abstractNumId w:val="4"/>
  </w:num>
  <w:num w:numId="24" w16cid:durableId="241113066">
    <w:abstractNumId w:val="37"/>
  </w:num>
  <w:num w:numId="25" w16cid:durableId="922832388">
    <w:abstractNumId w:val="3"/>
  </w:num>
  <w:num w:numId="26" w16cid:durableId="798687531">
    <w:abstractNumId w:val="25"/>
  </w:num>
  <w:num w:numId="27" w16cid:durableId="1796636633">
    <w:abstractNumId w:val="34"/>
  </w:num>
  <w:num w:numId="28" w16cid:durableId="1918780322">
    <w:abstractNumId w:val="10"/>
  </w:num>
  <w:num w:numId="29" w16cid:durableId="66154366">
    <w:abstractNumId w:val="23"/>
  </w:num>
  <w:num w:numId="30" w16cid:durableId="850607558">
    <w:abstractNumId w:val="26"/>
  </w:num>
  <w:num w:numId="31" w16cid:durableId="1141800449">
    <w:abstractNumId w:val="31"/>
  </w:num>
  <w:num w:numId="32" w16cid:durableId="201285094">
    <w:abstractNumId w:val="22"/>
  </w:num>
  <w:num w:numId="33" w16cid:durableId="487550827">
    <w:abstractNumId w:val="30"/>
  </w:num>
  <w:num w:numId="34" w16cid:durableId="1004548123">
    <w:abstractNumId w:val="18"/>
  </w:num>
  <w:num w:numId="35" w16cid:durableId="221991850">
    <w:abstractNumId w:val="38"/>
  </w:num>
  <w:num w:numId="36" w16cid:durableId="89470153">
    <w:abstractNumId w:val="41"/>
  </w:num>
  <w:num w:numId="37" w16cid:durableId="657802779">
    <w:abstractNumId w:val="17"/>
  </w:num>
  <w:num w:numId="38" w16cid:durableId="635375967">
    <w:abstractNumId w:val="29"/>
  </w:num>
  <w:num w:numId="39" w16cid:durableId="2103525611">
    <w:abstractNumId w:val="21"/>
  </w:num>
  <w:num w:numId="40" w16cid:durableId="787118880">
    <w:abstractNumId w:val="12"/>
  </w:num>
  <w:num w:numId="41" w16cid:durableId="1069764810">
    <w:abstractNumId w:val="6"/>
  </w:num>
  <w:num w:numId="42" w16cid:durableId="1957830569">
    <w:abstractNumId w:val="27"/>
  </w:num>
  <w:num w:numId="43" w16cid:durableId="616523335">
    <w:abstractNumId w:val="43"/>
  </w:num>
  <w:num w:numId="44" w16cid:durableId="392240493">
    <w:abstractNumId w:val="44"/>
  </w:num>
  <w:num w:numId="45" w16cid:durableId="1553955020">
    <w:abstractNumId w:val="1"/>
  </w:num>
  <w:num w:numId="46" w16cid:durableId="829152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24"/>
    <w:rsid w:val="00082C51"/>
    <w:rsid w:val="001A4343"/>
    <w:rsid w:val="00231CA2"/>
    <w:rsid w:val="00275E60"/>
    <w:rsid w:val="002E58C1"/>
    <w:rsid w:val="00322153"/>
    <w:rsid w:val="0036516A"/>
    <w:rsid w:val="004A7CA1"/>
    <w:rsid w:val="004C2C04"/>
    <w:rsid w:val="006578AF"/>
    <w:rsid w:val="00AE4B3B"/>
    <w:rsid w:val="00B31028"/>
    <w:rsid w:val="00B60DDA"/>
    <w:rsid w:val="00D878E9"/>
    <w:rsid w:val="00E63848"/>
    <w:rsid w:val="00EF5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9D43EE"/>
  <w15:docId w15:val="{AB37E2FE-09D8-1F4F-BDB0-69949F91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D878E9"/>
    <w:pPr>
      <w:keepNext/>
      <w:keepLines/>
      <w:widowControl/>
      <w:spacing w:before="480" w:after="0" w:line="276" w:lineRule="auto"/>
      <w:outlineLvl w:val="0"/>
    </w:pPr>
    <w:rPr>
      <w:rFonts w:asciiTheme="majorHAnsi" w:eastAsiaTheme="majorEastAsia" w:hAnsiTheme="majorHAnsi" w:cstheme="majorBidi"/>
      <w:b/>
      <w:bCs/>
      <w:color w:val="0F4761" w:themeColor="accent1" w:themeShade="BF"/>
      <w:kern w:val="0"/>
      <w:sz w:val="28"/>
      <w:szCs w:val="28"/>
      <w:lang w:eastAsia="en-US"/>
    </w:rPr>
  </w:style>
  <w:style w:type="paragraph" w:styleId="2">
    <w:name w:val="heading 2"/>
    <w:basedOn w:val="a0"/>
    <w:next w:val="a0"/>
    <w:link w:val="20"/>
    <w:uiPriority w:val="9"/>
    <w:unhideWhenUsed/>
    <w:qFormat/>
    <w:rsid w:val="00D878E9"/>
    <w:pPr>
      <w:keepNext/>
      <w:keepLines/>
      <w:widowControl/>
      <w:spacing w:before="200" w:after="0" w:line="276" w:lineRule="auto"/>
      <w:outlineLvl w:val="1"/>
    </w:pPr>
    <w:rPr>
      <w:rFonts w:asciiTheme="majorHAnsi" w:eastAsiaTheme="majorEastAsia" w:hAnsiTheme="majorHAnsi" w:cstheme="majorBidi"/>
      <w:b/>
      <w:bCs/>
      <w:color w:val="156082" w:themeColor="accent1"/>
      <w:kern w:val="0"/>
      <w:sz w:val="26"/>
      <w:szCs w:val="26"/>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rsid w:val="00AE4B3B"/>
    <w:pPr>
      <w:widowControl/>
      <w:numPr>
        <w:numId w:val="46"/>
      </w:numPr>
      <w:tabs>
        <w:tab w:val="clear" w:pos="360"/>
      </w:tabs>
      <w:spacing w:after="200" w:line="276" w:lineRule="auto"/>
      <w:ind w:left="0" w:firstLine="0"/>
      <w:contextualSpacing/>
    </w:pPr>
    <w:rPr>
      <w:kern w:val="0"/>
      <w:szCs w:val="22"/>
      <w:lang w:eastAsia="en-US"/>
    </w:rPr>
  </w:style>
  <w:style w:type="table" w:styleId="a4">
    <w:name w:val="Table Grid"/>
    <w:basedOn w:val="a2"/>
    <w:uiPriority w:val="59"/>
    <w:rsid w:val="00AE4B3B"/>
    <w:pPr>
      <w:spacing w:after="0" w:line="240" w:lineRule="auto"/>
    </w:pPr>
    <w:rPr>
      <w:kern w:val="0"/>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sid w:val="00D878E9"/>
    <w:rPr>
      <w:rFonts w:asciiTheme="majorHAnsi" w:eastAsiaTheme="majorEastAsia" w:hAnsiTheme="majorHAnsi" w:cstheme="majorBidi"/>
      <w:b/>
      <w:bCs/>
      <w:color w:val="0F4761" w:themeColor="accent1" w:themeShade="BF"/>
      <w:kern w:val="0"/>
      <w:sz w:val="28"/>
      <w:szCs w:val="28"/>
      <w:lang w:eastAsia="en-US"/>
    </w:rPr>
  </w:style>
  <w:style w:type="character" w:customStyle="1" w:styleId="20">
    <w:name w:val="标题 2 字符"/>
    <w:basedOn w:val="a1"/>
    <w:link w:val="2"/>
    <w:uiPriority w:val="9"/>
    <w:rsid w:val="00D878E9"/>
    <w:rPr>
      <w:rFonts w:asciiTheme="majorHAnsi" w:eastAsiaTheme="majorEastAsia" w:hAnsiTheme="majorHAnsi" w:cstheme="majorBidi"/>
      <w:b/>
      <w:bCs/>
      <w:color w:val="156082" w:themeColor="accent1"/>
      <w:kern w:val="0"/>
      <w:sz w:val="26"/>
      <w:szCs w:val="26"/>
      <w:lang w:eastAsia="en-US"/>
    </w:rPr>
  </w:style>
  <w:style w:type="paragraph" w:styleId="a5">
    <w:name w:val="Title"/>
    <w:basedOn w:val="a0"/>
    <w:next w:val="a0"/>
    <w:link w:val="a6"/>
    <w:uiPriority w:val="10"/>
    <w:qFormat/>
    <w:rsid w:val="00D878E9"/>
    <w:pPr>
      <w:widowControl/>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lang w:eastAsia="en-US"/>
    </w:rPr>
  </w:style>
  <w:style w:type="character" w:customStyle="1" w:styleId="a6">
    <w:name w:val="标题 字符"/>
    <w:basedOn w:val="a1"/>
    <w:link w:val="a5"/>
    <w:uiPriority w:val="10"/>
    <w:rsid w:val="00D878E9"/>
    <w:rPr>
      <w:rFonts w:asciiTheme="majorHAnsi" w:eastAsiaTheme="majorEastAsia" w:hAnsiTheme="majorHAnsi" w:cstheme="majorBidi"/>
      <w:color w:val="0A1D30" w:themeColor="text2" w:themeShade="BF"/>
      <w:spacing w:val="5"/>
      <w:kern w:val="28"/>
      <w:sz w:val="52"/>
      <w:szCs w:val="5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20</Pages>
  <Words>5879</Words>
  <Characters>7703</Characters>
  <Application>Microsoft Office Word</Application>
  <DocSecurity>0</DocSecurity>
  <Lines>427</Lines>
  <Paragraphs>438</Paragraphs>
  <ScaleCrop>false</ScaleCrop>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Apache POI</dc:creator>
  <cp:keywords/>
  <dc:description/>
  <cp:lastModifiedBy>peng yi</cp:lastModifiedBy>
  <cp:revision>1</cp:revision>
  <dcterms:created xsi:type="dcterms:W3CDTF">2026-07-03T10:43:00Z</dcterms:created>
  <dcterms:modified xsi:type="dcterms:W3CDTF">2026-08-15T08:26:00Z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{"Label":"1","ContentProducer":"001191110102MACQD9K64010000","ProduceID":"7658250523464043476","ReservedCode1":"","ContentPropagator":"","PropagateID":"","ReservedCode2":""}</vt:lpwstr>
  </property>
</Properties>
</file>