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eastAsia="黑体"/>
          <w:b/>
          <w:i w:val="0"/>
          <w:sz w:val="44"/>
        </w:rPr>
        <w:t>基于深度强化学习的非平稳需求与双源采购</w:t>
        <w:br/>
        <w:t>库存优化研究（初稿 v2·对照原论文修订版）</w:t>
      </w:r>
    </w:p>
    <w:p>
      <w:pPr>
        <w:spacing w:line="360" w:lineRule="auto" w:after="360"/>
        <w:jc w:val="center"/>
      </w:pPr>
      <w:r>
        <w:rPr>
          <w:rFonts w:ascii="Times New Roman" w:hAnsi="Times New Roman" w:eastAsia="宋体"/>
          <w:b w:val="0"/>
          <w:i w:val="0"/>
          <w:sz w:val="26"/>
        </w:rPr>
        <w:t>——在 Yan, Chen, Fu &amp; Bi (2026, Computers &amp; Operations Research 186: 107305) 全有或全无良率库存模型基础上的扩展</w:t>
      </w:r>
    </w:p>
    <w:tbl>
      <w:tblPr>
        <w:tblStyle w:val="TableGrid"/>
        <w:tblW w:type="auto" w:w="0"/>
        <w:tblLook w:firstColumn="1" w:firstRow="1" w:lastColumn="0" w:lastRow="0" w:noHBand="0" w:noVBand="1" w:val="04A0"/>
      </w:tblPr>
      <w:tblGrid>
        <w:gridCol w:w="8312"/>
      </w:tblGrid>
      <w:tr>
        <w:tc>
          <w:tcPr>
            <w:tcW w:type="dxa" w:w="8312"/>
            <w:shd w:val="clear" w:fill="FFF2CC"/>
          </w:tcPr>
          <w:p>
            <w:pPr>
              <w:spacing w:line="312" w:lineRule="auto"/>
            </w:pPr>
            <w:r>
              <w:rPr>
                <w:rFonts w:ascii="Times New Roman" w:hAnsi="Times New Roman" w:eastAsia="宋体"/>
                <w:b w:val="0"/>
                <w:i w:val="0"/>
                <w:sz w:val="21"/>
              </w:rPr>
              <w:t>【初稿说明 · v2】本稿已逐节对照原论文（Yan et al., 2026, C&amp;OR）的结构、记号与写作规范修订：</w:t>
            </w:r>
          </w:p>
          <w:p>
            <w:pPr>
              <w:spacing w:line="312" w:lineRule="auto"/>
            </w:pPr>
            <w:r>
              <w:rPr>
                <w:rFonts w:ascii="Times New Roman" w:hAnsi="Times New Roman" w:eastAsia="宋体"/>
                <w:b w:val="0"/>
                <w:i w:val="0"/>
                <w:sz w:val="21"/>
              </w:rPr>
              <w:t>· 凡沿用原论文的公式、算法与实验条款，均在括号中标注原文编号（如“原文式(3)”“原文 Algorithm 1”）；</w:t>
            </w:r>
          </w:p>
          <w:p>
            <w:pPr>
              <w:spacing w:line="312" w:lineRule="auto"/>
            </w:pPr>
            <w:r>
              <w:rPr>
                <w:rFonts w:ascii="Times New Roman" w:hAnsi="Times New Roman" w:eastAsia="宋体"/>
                <w:b w:val="0"/>
                <w:i w:val="0"/>
                <w:sz w:val="21"/>
              </w:rPr>
              <w:t>· 本文相对原论文的全部差异集中声明于附录C对照表，正文相应位置以“注记X.X”形式给出理由；</w:t>
            </w:r>
          </w:p>
          <w:p>
            <w:pPr>
              <w:spacing w:line="312" w:lineRule="auto"/>
            </w:pPr>
            <w:r>
              <w:rPr>
                <w:rFonts w:ascii="Times New Roman" w:hAnsi="Times New Roman" w:eastAsia="宋体"/>
                <w:b w:val="0"/>
                <w:i w:val="0"/>
                <w:sz w:val="21"/>
              </w:rPr>
              <w:t>· 数值结果全部实时取自代码产物（test/cost_list_*.json、train/data/*.json、trace_*.csv），样本参数直接导出自 get_group_dual()/get_group_seasonal()；</w:t>
            </w:r>
          </w:p>
          <w:p>
            <w:pPr>
              <w:spacing w:line="312" w:lineRule="auto"/>
            </w:pPr>
            <w:r>
              <w:rPr>
                <w:rFonts w:ascii="Times New Roman" w:hAnsi="Times New Roman" w:eastAsia="宋体"/>
                <w:b w:val="0"/>
                <w:i w:val="0"/>
                <w:sz w:val="21"/>
              </w:rPr>
              <w:t>· 文献综述与部分批量实验【待补充】【待执行】；参考文献题录已按原论文参考文献列表核对（完整DOI见原文References）。</w:t>
            </w:r>
          </w:p>
        </w:tc>
      </w:tr>
    </w:tbl>
    <w:p>
      <w:pPr>
        <w:spacing w:after="0"/>
      </w:pPr>
    </w:p>
    <w:p>
      <w:pPr>
        <w:pStyle w:val="Heading1"/>
      </w:pPr>
      <w:r>
        <w:t>摘要</w:t>
      </w:r>
    </w:p>
    <w:p>
      <w:pPr>
        <w:spacing w:line="360" w:lineRule="auto" w:after="120"/>
        <w:ind w:firstLine="480"/>
      </w:pPr>
      <w:r>
        <w:rPr>
          <w:rFonts w:ascii="Times New Roman" w:hAnsi="Times New Roman" w:eastAsia="宋体"/>
          <w:b w:val="0"/>
          <w:i w:val="0"/>
          <w:sz w:val="24"/>
        </w:rPr>
        <w:t>本文考虑单物品、周期盘点的库存系统：需求具有季节性非平稳特征，常规采购渠道存在全有或全无（all-or-nothing）随机良率与非零提前期，另设零提前期、良率恒为一的应急采购渠道，缺货延期交付（backlogging）。企业目标是最小化有限规划期内的期望折扣总成本。由于该扩展问题的最优策略结构未知、动态规划受维数灾难困扰，本文在 Yan 等（2026）单源平稳基准框架上作两方面系统性扩展：其一，将稳态需求推广为均值与标准差同步正弦波动的时变正态过程，并在状态空间引入正弦／余弦周期编码与归一化时间，使有限期非平稳决策过程重新满足马尔可夫性；其二，引入应急渠道构成双源结构，动作空间由标量扩展为二维。求解上，本文将原论文“路径加权＋教师锚定”策略网络推广为单Agent双输出架构：常规渠道输出保持三模块复合结构与凸性友好的仿射形式，权重约束于 WNH 教师邻域；应急渠道输出以报童水位为锚、经 tanh 盒子受限缩放；训练采用以联合启发式 HEUR 为分母的相对指数损失。基于同种子蒙特卡洛协议的双源场景实验表明：扩展DRL平均折扣总成本较HEUR降低9.01%、较WNH降低32.02%，且五种策略中方差最小；季节性场景演示运行复现了原论文“平稳环境下时间输入无显著增益”的附录C结论，反向印证了时间感知价值的来源。</w:t>
      </w:r>
    </w:p>
    <w:p>
      <w:pPr>
        <w:spacing w:line="360" w:lineRule="auto" w:after="120"/>
      </w:pPr>
      <w:r>
        <w:rPr>
          <w:rFonts w:ascii="Times New Roman" w:hAnsi="Times New Roman" w:eastAsia="宋体"/>
          <w:b/>
          <w:i w:val="0"/>
          <w:sz w:val="24"/>
        </w:rPr>
        <w:t>关键词：深度强化学习；库存管理；全有或全无良率；双源采购；季节性非平稳需求；有限期马尔可夫决策过程；教师锚定</w:t>
      </w:r>
    </w:p>
    <w:p>
      <w:pPr>
        <w:spacing w:line="360" w:lineRule="auto" w:after="120"/>
        <w:jc w:val="center"/>
      </w:pPr>
      <w:r>
        <w:rPr>
          <w:rFonts w:ascii="Times New Roman" w:hAnsi="Times New Roman" w:eastAsia="宋体"/>
          <w:b w:val="0"/>
          <w:i w:val="0"/>
          <w:sz w:val="24"/>
        </w:rPr>
        <w:t>【目录：定稿前由 Word 自动生成】</w:t>
      </w:r>
    </w:p>
    <w:p>
      <w:pPr>
        <w:pStyle w:val="Heading1"/>
      </w:pPr>
      <w:r>
        <w:t>第一章 绪论</w:t>
      </w:r>
    </w:p>
    <w:p>
      <w:pPr>
        <w:pStyle w:val="Heading2"/>
      </w:pPr>
      <w:r>
        <w:t>1.1 研究背景与动机</w:t>
      </w:r>
    </w:p>
    <w:p>
      <w:pPr>
        <w:spacing w:line="360" w:lineRule="auto" w:after="120"/>
        <w:ind w:firstLine="480"/>
      </w:pPr>
      <w:r>
        <w:rPr>
          <w:rFonts w:ascii="Times New Roman" w:hAnsi="Times New Roman" w:eastAsia="宋体"/>
          <w:b w:val="0"/>
          <w:i w:val="0"/>
          <w:sz w:val="24"/>
        </w:rPr>
        <w:t>本文的研究动机直接承继原论文（Yan et al., 2026）的项目背景：一家专业生产抗生素药物的制药企业，关键原料与辅料入厂时必须抽样检测微生物污染，一旦检测失败整批货物报废或退回，形成典型的全有或全无（all-or-nothing）良率模式；该模式在生物制造中因温度、湿度、PH 值等工艺参数失控而普遍存在（Tomlin, 2009; Martagan et al., 2016, 2020）。在此基础上，本文进一步刻画该企业面临的两点现实特征：第一，疾病流行具有明显的季节性周期，药品需求的均值与波动随时间同步起伏，呈非平稳特征；第二，为保障高水平药品可及性，企业在低成本、长提前期的常规渠道之外，配置了高单价但零提前期且质量完全可靠的应急采购渠道，形成“成本—响应速度”权衡下的双源结构。</w:t>
      </w:r>
    </w:p>
    <w:p>
      <w:pPr>
        <w:spacing w:line="360" w:lineRule="auto" w:after="120"/>
        <w:ind w:firstLine="480"/>
      </w:pPr>
      <w:r>
        <w:rPr>
          <w:rFonts w:ascii="Times New Roman" w:hAnsi="Times New Roman" w:eastAsia="宋体"/>
          <w:b w:val="0"/>
          <w:i w:val="0"/>
          <w:sz w:val="24"/>
        </w:rPr>
        <w:t>原论文针对“单源＋平稳需求＋全有或全无良率＋非零提前期”建立了有限期 MDP 框架，沿 LIR 与 WNH 两条启发式谱系构造了梯度下降搜索启发式（GDSH）与定制 DRL 算法，并证明了路径加权结构下总成本对权重向量的凸性。然而该框架存在两点未竟之处：其一，需求被假设为独立同分布（IID），原论文附录C发现在此设定下向网络输入时间信息并无显著增益——这恰恰说明时间感知的收益必须来自需求分布本身随时间变化（携带信息）的场景；其二，单源结构无法利用应急渠道实现整批断供的兜底。当季节性与双源同时进入系统后，固定阈值类启发式的刚性、以及标量动作结构的局限，使得原方法难以直接迁移。</w:t>
      </w:r>
    </w:p>
    <w:p>
      <w:pPr>
        <w:spacing w:line="360" w:lineRule="auto" w:after="120"/>
        <w:ind w:firstLine="480"/>
      </w:pPr>
      <w:r>
        <w:rPr>
          <w:rFonts w:ascii="Times New Roman" w:hAnsi="Times New Roman" w:eastAsia="宋体"/>
          <w:b w:val="0"/>
          <w:i w:val="0"/>
          <w:sz w:val="24"/>
        </w:rPr>
        <w:t>基于上述动机，本文考虑如下问题：单物品、周期盘点；第 t 期需求服从均值与标准差同步正弦变化的截断正态分布；常规渠道提前期为 L 期且受 Bernoulli(p) 全有或全无良率支配；应急渠道零提前期、良率恒为一、单位成本更高；缺货延期交付；目标为最小化 T 期期望折扣总成本。该问题的挑战在于：（i）状态空间在库存与 L 维管道订单之外还需纳入时间维度，维数灾难加剧；（ii）最优策略结构更加未知；（iii）双渠道的联合订货时机无法由两个独立静态阈值的叠加刻画。</w:t>
      </w:r>
    </w:p>
    <w:p>
      <w:pPr>
        <w:pStyle w:val="Heading2"/>
      </w:pPr>
      <w:r>
        <w:t>1.2 文献综述骨架【文献综述待补充】</w:t>
      </w:r>
    </w:p>
    <w:p>
      <w:pPr>
        <w:spacing w:line="360" w:lineRule="auto" w:after="120"/>
      </w:pPr>
      <w:r>
        <w:rPr>
          <w:rFonts w:ascii="Times New Roman" w:hAnsi="Times New Roman" w:eastAsia="宋体"/>
          <w:b w:val="0"/>
          <w:i w:val="0"/>
          <w:sz w:val="24"/>
        </w:rPr>
        <w:t>以下按四条脉络给出综述骨架与核心题录，定稿前补充评述性文字：</w:t>
      </w:r>
    </w:p>
    <w:p>
      <w:pPr>
        <w:spacing w:line="360" w:lineRule="auto" w:after="120"/>
        <w:ind w:firstLine="480"/>
      </w:pPr>
      <w:r>
        <w:rPr>
          <w:rFonts w:ascii="Times New Roman" w:hAnsi="Times New Roman" w:eastAsia="宋体"/>
          <w:b w:val="0"/>
          <w:i w:val="0"/>
          <w:sz w:val="24"/>
        </w:rPr>
        <w:t>(1) 随机良率库存的近似方法谱系：零提前期的随机比例良率结构结果（Henig &amp; Gerchak, 1990）、报童类与 NLH-2 近似（Bollapragada &amp; Morton, 1999; Li et al., 2008）、线性膨胀规则 LIR（Huh &amp; Nagarajan, 2010）；非零提前期的 LIR 安全库存公式（Inderfurth, 2009; Inderfurth &amp; Vogelgesang, 2013; Inderfurth &amp; Kiesmüller, 2015）；全有或全无良率的 WNH 与凸性界（Chen et al., 2018; Yan et al., 2026）。</w:t>
      </w:r>
    </w:p>
    <w:p>
      <w:pPr>
        <w:spacing w:line="360" w:lineRule="auto" w:after="120"/>
        <w:ind w:firstLine="480"/>
      </w:pPr>
      <w:r>
        <w:rPr>
          <w:rFonts w:ascii="Times New Roman" w:hAnsi="Times New Roman" w:eastAsia="宋体"/>
          <w:b w:val="0"/>
          <w:i w:val="0"/>
          <w:sz w:val="24"/>
        </w:rPr>
        <w:t>(2) 供应风险的应用背景：生物制造抽检报废（Tomlin, 2009; Martagan et al., 2016, 2020）、供应中断与全有或全无等价性（Wang et al., 2010; Tang et al., 2014）、装配系统与供应链金融中的良率风险（DeCroix, 2013; Kouvelis et al., 2018; Yuan et al., 2021）。</w:t>
      </w:r>
    </w:p>
    <w:p>
      <w:pPr>
        <w:spacing w:line="360" w:lineRule="auto" w:after="120"/>
        <w:ind w:firstLine="480"/>
      </w:pPr>
      <w:r>
        <w:rPr>
          <w:rFonts w:ascii="Times New Roman" w:hAnsi="Times New Roman" w:eastAsia="宋体"/>
          <w:b w:val="0"/>
          <w:i w:val="0"/>
          <w:sz w:val="24"/>
        </w:rPr>
        <w:t>(3) DRL 在库存管理中的应用：综述路线图（Boute et al., 2022）；A3C 求解 lost-sales/双源/多级（Gijsbrechts et al., 2022）、Beer game 的 SRDQN（Oroojlooyjadid et al., 2022）、易腐品 reward shaping（De Moor et al., 2022）、一级多仓储配（Kaynov et al., 2024）、在线零售履约 PPO（Wang &amp; Minner, 2024）。</w:t>
      </w:r>
    </w:p>
    <w:p>
      <w:pPr>
        <w:spacing w:line="360" w:lineRule="auto" w:after="120"/>
        <w:ind w:firstLine="480"/>
      </w:pPr>
      <w:r>
        <w:rPr>
          <w:rFonts w:ascii="Times New Roman" w:hAnsi="Times New Roman" w:eastAsia="宋体"/>
          <w:b w:val="0"/>
          <w:i w:val="0"/>
          <w:sz w:val="24"/>
        </w:rPr>
        <w:t>(4) 时间感知与非平稳 RL：时间限制终止属于环境的一部分、剩余时间应入输入（Pardo et al., 2018, ICML）；有限视野最优策略本质非平稳、须做状态扩充（Bertsekas, 2019）；非平稳需求 DRL 将未来 H 期分布参数嵌入状态（Dehaybe et al., 2023）；距季节高峰周数作特征（Maggiar et al., 2025）；非平稳 MDP 无时间上下文则后悔界不收敛（Mao et al., 2024）。特别地，原论文处理非 IID 需求采用“每期训练独立 agent θ_t”的方案（原文附录D.2），本文以单一时间感知网络实现参数共享，构成方法论上的对照。</w:t>
      </w:r>
    </w:p>
    <w:p>
      <w:pPr>
        <w:pStyle w:val="Heading2"/>
      </w:pPr>
      <w:r>
        <w:t>1.3 研究内容与主要贡献</w:t>
      </w:r>
    </w:p>
    <w:p>
      <w:pPr>
        <w:spacing w:line="360" w:lineRule="auto" w:after="120"/>
      </w:pPr>
      <w:r>
        <w:rPr>
          <w:rFonts w:ascii="Times New Roman" w:hAnsi="Times New Roman" w:eastAsia="宋体"/>
          <w:b w:val="0"/>
          <w:i w:val="0"/>
          <w:sz w:val="24"/>
        </w:rPr>
        <w:t>本文的研究内容与贡献如下（相对原论文的增量以括号注明，完整差异见附录C）：</w:t>
      </w:r>
    </w:p>
    <w:p>
      <w:pPr>
        <w:spacing w:line="360" w:lineRule="auto" w:after="120"/>
        <w:ind w:firstLine="480"/>
      </w:pPr>
      <w:r>
        <w:rPr>
          <w:rFonts w:ascii="Times New Roman" w:hAnsi="Times New Roman" w:eastAsia="宋体"/>
          <w:b w:val="0"/>
          <w:i w:val="0"/>
          <w:sz w:val="24"/>
        </w:rPr>
        <w:t>(1) 建立了“季节性非平稳需求＋全有或全无良率常规渠道＋零提前期应急渠道”的有限期 MDP 完整模型，给出六步单周期时序逻辑并论证时间感知状态的必要性（新增：时变需求过程、二维动作空间、动态目标库存 SL(t) 与应急安全水位 S0(t)）；</w:t>
      </w:r>
    </w:p>
    <w:p>
      <w:pPr>
        <w:spacing w:line="360" w:lineRule="auto" w:after="120"/>
        <w:ind w:firstLine="480"/>
      </w:pPr>
      <w:r>
        <w:rPr>
          <w:rFonts w:ascii="Times New Roman" w:hAnsi="Times New Roman" w:eastAsia="宋体"/>
          <w:b w:val="0"/>
          <w:i w:val="0"/>
          <w:sz w:val="24"/>
        </w:rPr>
        <w:t>(2) 设计了时间感知状态空间：正弦／余弦编码捕捉周期相位、归一化时间 t/T 刻画规划期进度与期末收尾信号，二者使扩充后的过程满足马尔可夫性（相对原文附录C：本文场景中时间输入承载真实分布信息，而非冗余索引）；</w:t>
      </w:r>
    </w:p>
    <w:p>
      <w:pPr>
        <w:spacing w:line="360" w:lineRule="auto" w:after="120"/>
        <w:ind w:firstLine="480"/>
      </w:pPr>
      <w:r>
        <w:rPr>
          <w:rFonts w:ascii="Times New Roman" w:hAnsi="Times New Roman" w:eastAsia="宋体"/>
          <w:b w:val="0"/>
          <w:i w:val="0"/>
          <w:sz w:val="24"/>
        </w:rPr>
        <w:t>(3) 提出融合多类启发式先验的单 Agent 双输出架构：常规头保持原文三模块 ψ₁∘ψ₂∘ψ₃ 结构并将权重边界参数化为能量归一化形式（在 L=5 处精确复现原文精调值 0.0884），应急头在报童水位邻域内 tanh 受限缩放；损失分母由 C_WNH 推广为 C_HEUR；</w:t>
      </w:r>
    </w:p>
    <w:p>
      <w:pPr>
        <w:spacing w:line="360" w:lineRule="auto" w:after="120"/>
        <w:ind w:firstLine="480"/>
      </w:pPr>
      <w:r>
        <w:rPr>
          <w:rFonts w:ascii="Times New Roman" w:hAnsi="Times New Roman" w:eastAsia="宋体"/>
          <w:b w:val="0"/>
          <w:i w:val="0"/>
          <w:sz w:val="24"/>
        </w:rPr>
        <w:t>(4) 建立成对种子共享的分层蒙特卡洛实验体系并在双源演示样本上实证：扩展 DRL 较 HEUR 降低成本 9.01%、较 WNH 降低 32.02%，方差最小；轨迹分析揭示“常规降库、应急兜底、时机后置”的非线性协同行为（对应原文附录B的行为分析传统）。</w:t>
      </w:r>
    </w:p>
    <w:p>
      <w:pPr>
        <w:pStyle w:val="Heading2"/>
      </w:pPr>
      <w:r>
        <w:t>1.4 论文组织结构</w:t>
      </w:r>
    </w:p>
    <w:p>
      <w:pPr>
        <w:spacing w:line="360" w:lineRule="auto" w:after="120"/>
        <w:ind w:firstLine="480"/>
      </w:pPr>
      <w:r>
        <w:rPr>
          <w:rFonts w:ascii="Times New Roman" w:hAnsi="Times New Roman" w:eastAsia="宋体"/>
          <w:b w:val="0"/>
          <w:i w:val="0"/>
          <w:sz w:val="24"/>
        </w:rPr>
        <w:t>第二章回顾基准模型并给出记号对应关系；第三章建立扩展 MDP 模型；第四章介绍启发式基准族、DRL 架构与训练算法；第五章报告数值实验；第六章总结并给出管理启示；附录提供代码对照表、复现说明与差异声明总表。术语与记号尽量沿用原论文，首次出现处标注英文原文。</w:t>
      </w:r>
    </w:p>
    <w:p>
      <w:pPr>
        <w:pStyle w:val="Heading1"/>
      </w:pPr>
      <w:r>
        <w:t>第二章 预备知识：基准模型回顾与扩展路线</w:t>
      </w:r>
    </w:p>
    <w:p>
      <w:pPr>
        <w:pStyle w:val="Heading2"/>
      </w:pPr>
      <w:r>
        <w:t>2.1 原基准模型（Yan et al., 2026）</w:t>
      </w:r>
    </w:p>
    <w:p>
      <w:pPr>
        <w:spacing w:line="360" w:lineRule="auto" w:after="120"/>
        <w:ind w:firstLine="480"/>
      </w:pPr>
      <w:r>
        <w:rPr>
          <w:rFonts w:ascii="Times New Roman" w:hAnsi="Times New Roman" w:eastAsia="宋体"/>
          <w:b w:val="0"/>
          <w:i w:val="0"/>
          <w:sz w:val="24"/>
        </w:rPr>
        <w:t>原基准系统为周期盘点的单源库存系统：每期期初收到 L 期前下达的订单并立即完成抽样检测，良率 Y_t 以概率 p 取 1（整批 q 入库）、以概率 1−p 取 0（整批为零）；随后观测库存水平 I_t 与在途（管道）订单向量 Q_t=(q_(t−1),…,q_(t−L+1)) 并决定订货量 q_t；需求 d_t 实现后尽可能用现有库存满足，未满足部分延期交付。持有与缺货成本按期末库存计提：H(I_t)=c_h·[I_t]⁺+c_b·[−I_t]⁺（[x]⁺=max{x,0}）；采购费仅在到货检测通过后支付。目标为 min E[Σ α^(t−1) c_t]，t=1..T。本文代码采用 t=0..T−1 与 α^t 计数（见注记3.1），事件顺序完全一致。</w:t>
      </w:r>
    </w:p>
    <w:p>
      <w:pPr>
        <w:spacing w:line="360" w:lineRule="auto" w:after="120"/>
      </w:pPr>
      <w:r>
        <w:rPr>
          <w:rFonts w:ascii="Times New Roman" w:hAnsi="Times New Roman" w:eastAsia="宋体"/>
          <w:b w:val="0"/>
          <w:i w:val="0"/>
          <w:sz w:val="24"/>
        </w:rPr>
        <w:t>LIR 与 WNH 共用的目标库存水平 S_L 由 Inderfurth &amp; Vogelgesang (2013) 型近似给出（原文式(3)）：</w:t>
      </w:r>
    </w:p>
    <w:p>
      <w:pPr>
        <w:tabs>
          <w:tab w:pos="4156" w:val="center"/>
          <w:tab w:pos="8311" w:val="right"/>
        </w:tabs>
        <w:spacing w:line="360" w:lineRule="auto" w:before="60" w:after="60"/>
      </w:pPr>
      <w:r>
        <w:rPr>
          <w:rFonts w:ascii="Times New Roman" w:hAnsi="Times New Roman" w:eastAsia="宋体"/>
          <w:b w:val="0"/>
          <w:i w:val="0"/>
          <w:sz w:val="24"/>
        </w:rPr>
        <w:tab/>
      </w:r>
      <m:oMath>
        <m:sSub>
          <m:e>
            <m:r>
              <m:t>S</m:t>
            </m:r>
          </m:e>
          <m:sub>
            <m:r>
              <m:t>L</m:t>
            </m:r>
          </m:sub>
        </m:sSub>
        <m:r>
          <m:t>=(L+1)</m:t>
        </m:r>
        <m:sSub>
          <m:e>
            <m:r>
              <m:t>μ</m:t>
            </m:r>
          </m:e>
          <m:sub>
            <m:r>
              <m:t>D</m:t>
            </m:r>
          </m:sub>
        </m:sSub>
        <m:r>
          <m:t>+k</m:t>
        </m:r>
        <m:rad>
          <m:radPr>
            <m:degHide m:val="on"/>
          </m:radPr>
          <m:deg/>
          <m:e>
            <m:r>
              <m:t>(L+1)</m:t>
            </m:r>
            <m:sSubSup>
              <m:e>
                <m:r>
                  <m:t>σ</m:t>
                </m:r>
              </m:e>
              <m:sub>
                <m:r>
                  <m:t>D</m:t>
                </m:r>
              </m:sub>
              <m:sup>
                <m:r>
                  <m:t>2</m:t>
                </m:r>
              </m:sup>
            </m:sSubSup>
            <m:r>
              <m:t>+max(L,1)</m:t>
            </m:r>
            <m:f>
              <m:fPr>
                <m:type m:val="bar"/>
              </m:fPr>
              <m:num>
                <m:sSubSup>
                  <m:e>
                    <m:r>
                      <m:t>ρ</m:t>
                    </m:r>
                  </m:e>
                  <m:sub>
                    <m:r>
                      <m:t>Y</m:t>
                    </m:r>
                  </m:sub>
                  <m:sup>
                    <m:r>
                      <m:t>2</m:t>
                    </m:r>
                  </m:sup>
                </m:sSubSup>
              </m:num>
              <m:den>
                <m:r>
                  <m:t>1−</m:t>
                </m:r>
                <m:sSubSup>
                  <m:e>
                    <m:r>
                      <m:t>ρ</m:t>
                    </m:r>
                  </m:e>
                  <m:sub>
                    <m:r>
                      <m:t>Y</m:t>
                    </m:r>
                  </m:sub>
                  <m:sup>
                    <m:r>
                      <m:t>2</m:t>
                    </m:r>
                  </m:sup>
                </m:sSubSup>
              </m:den>
            </m:f>
            <m:d>
              <m:dPr>
                <m:sepChr m:val="+"/>
              </m:dPr>
              <m:e>
                <m:sSubSup>
                  <m:e>
                    <m:r>
                      <m:t>μ</m:t>
                    </m:r>
                  </m:e>
                  <m:sub>
                    <m:r>
                      <m:t>D</m:t>
                    </m:r>
                  </m:sub>
                  <m:sup>
                    <m:r>
                      <m:t>2</m:t>
                    </m:r>
                  </m:sup>
                </m:sSubSup>
              </m:e>
              <m:e>
                <m:sSubSup>
                  <m:e>
                    <m:r>
                      <m:t>σ</m:t>
                    </m:r>
                  </m:e>
                  <m:sub>
                    <m:r>
                      <m:t>D</m:t>
                    </m:r>
                  </m:sub>
                  <m:sup>
                    <m:r>
                      <m:t>2</m:t>
                    </m:r>
                  </m:sup>
                </m:sSubSup>
              </m:e>
            </m:d>
          </m:e>
        </m:rad>
        <m:r>
          <m:t>,</m:t>
        </m:r>
        <m:r>
          <m:rPr>
            <m:sty m:val="p"/>
          </m:rPr>
          <m:t>  </m:t>
        </m:r>
        <m:sSub>
          <m:e>
            <m:r>
              <m:t>ρ</m:t>
            </m:r>
          </m:e>
          <m:sub>
            <m:r>
              <m:t>Y</m:t>
            </m:r>
          </m:sub>
        </m:sSub>
        <m:r>
          <m:t>=</m:t>
        </m:r>
        <m:rad>
          <m:radPr>
            <m:degHide m:val="on"/>
          </m:radPr>
          <m:deg/>
          <m:e>
            <m:f>
              <m:fPr>
                <m:type m:val="bar"/>
              </m:fPr>
              <m:num>
                <m:r>
                  <m:t>1−p</m:t>
                </m:r>
              </m:num>
              <m:den>
                <m:r>
                  <m:t>p</m:t>
                </m:r>
              </m:den>
            </m:f>
          </m:e>
        </m:rad>
        <m:r>
          <m:t>,</m:t>
        </m:r>
        <m:r>
          <m:rPr>
            <m:sty m:val="p"/>
          </m:rPr>
          <m:t>  </m:t>
        </m:r>
        <m:r>
          <m:t>k=</m:t>
        </m:r>
        <m:sSup>
          <m:e>
            <m:r>
              <m:t>Φ</m:t>
            </m:r>
          </m:e>
          <m:sup>
            <m:r>
              <m:t>−1</m:t>
            </m:r>
          </m:sup>
        </m:sSup>
        <m:d>
          <m:dPr>
            <m:sepChr m:val=""/>
          </m:dPr>
          <m:e>
            <m:f>
              <m:fPr>
                <m:type m:val="bar"/>
              </m:fPr>
              <m:num>
                <m:sSub>
                  <m:e>
                    <m:r>
                      <m:t>c</m:t>
                    </m:r>
                  </m:e>
                  <m:sub>
                    <m:r>
                      <m:t>b</m:t>
                    </m:r>
                  </m:sub>
                </m:sSub>
              </m:num>
              <m:den>
                <m:sSub>
                  <m:e>
                    <m:r>
                      <m:t>c</m:t>
                    </m:r>
                  </m:e>
                  <m:sub>
                    <m:r>
                      <m:t>b</m:t>
                    </m:r>
                  </m:sub>
                </m:sSub>
                <m:r>
                  <m:t>+</m:t>
                </m:r>
                <m:sSub>
                  <m:e>
                    <m:r>
                      <m:t>c</m:t>
                    </m:r>
                  </m:e>
                  <m:sub>
                    <m:r>
                      <m:t>h</m:t>
                    </m:r>
                  </m:sub>
                </m:sSub>
              </m:den>
            </m:f>
          </m:e>
        </m:d>
      </m:oMath>
      <w:r>
        <w:rPr>
          <w:rFonts w:ascii="Times New Roman" w:hAnsi="Times New Roman" w:eastAsia="宋体"/>
          <w:b w:val="0"/>
          <w:i w:val="0"/>
          <w:sz w:val="24"/>
        </w:rPr>
        <w:tab/>
      </w:r>
      <w:r>
        <w:rPr>
          <w:rFonts w:ascii="Times New Roman" w:hAnsi="Times New Roman" w:eastAsia="宋体"/>
          <w:b w:val="0"/>
          <w:i w:val="0"/>
          <w:sz w:val="24"/>
        </w:rPr>
        <w:t>(2-1)</w:t>
      </w:r>
    </w:p>
    <w:p>
      <w:pPr>
        <w:spacing w:line="360" w:lineRule="auto" w:after="120"/>
      </w:pPr>
      <w:r>
        <w:rPr>
          <w:rFonts w:ascii="Times New Roman" w:hAnsi="Times New Roman" w:eastAsia="宋体"/>
          <w:b w:val="0"/>
          <w:i w:val="0"/>
          <w:sz w:val="24"/>
        </w:rPr>
        <w:t>其中平方根内 ρ_Y²/(1−ρ_Y²)·(μ_D²+σ_D²) 项刻画良率风险沿提前期的方差放大效应。两基准策略为：</w:t>
      </w:r>
    </w:p>
    <w:p>
      <w:pPr>
        <w:tabs>
          <w:tab w:pos="4156" w:val="center"/>
          <w:tab w:pos="8311" w:val="right"/>
        </w:tabs>
        <w:spacing w:line="360" w:lineRule="auto" w:before="60" w:after="60"/>
      </w:pPr>
      <w:r>
        <w:rPr>
          <w:rFonts w:ascii="Times New Roman" w:hAnsi="Times New Roman" w:eastAsia="宋体"/>
          <w:b w:val="0"/>
          <w:i w:val="0"/>
          <w:sz w:val="24"/>
        </w:rPr>
        <w:tab/>
      </w:r>
      <m:oMath>
        <m:sSub>
          <m:e>
            <m:r>
              <m:t>q</m:t>
            </m:r>
          </m:e>
          <m:sub>
            <m:r>
              <m:t>LIR</m:t>
            </m:r>
          </m:sub>
        </m:sSub>
        <m:r>
          <m:t>=β</m:t>
        </m:r>
        <m:r>
          <m:t>[</m:t>
        </m:r>
        <m:sSub>
          <m:e>
            <m:r>
              <m:t>S</m:t>
            </m:r>
          </m:e>
          <m:sub>
            <m:r>
              <m:t>L</m:t>
            </m:r>
          </m:sub>
        </m:sSub>
        <m:r>
          <m:t>−I</m:t>
        </m:r>
        <m:sSub>
          <m:e>
            <m:r>
              <m:t>P</m:t>
            </m:r>
          </m:e>
          <m:sub>
            <m:r>
              <m:t>t</m:t>
            </m:r>
          </m:sub>
        </m:sSub>
        <m:sSup>
          <m:e>
            <m:r>
              <m:t>]</m:t>
            </m:r>
          </m:e>
          <m:sup>
            <m:r>
              <m:t>+</m:t>
            </m:r>
          </m:sup>
        </m:sSup>
        <m:r>
          <m:t>,</m:t>
        </m:r>
        <m:r>
          <m:rPr>
            <m:sty m:val="p"/>
          </m:rPr>
          <m:t>  </m:t>
        </m:r>
        <m:r>
          <m:t>I</m:t>
        </m:r>
        <m:sSub>
          <m:e>
            <m:r>
              <m:t>P</m:t>
            </m:r>
          </m:e>
          <m:sub>
            <m:r>
              <m:t>t</m:t>
            </m:r>
          </m:sub>
        </m:sSub>
        <m:r>
          <m:t>=</m:t>
        </m:r>
        <m:sSub>
          <m:e>
            <m:r>
              <m:t>I</m:t>
            </m:r>
          </m:e>
          <m:sub>
            <m:r>
              <m:t>t</m:t>
            </m:r>
          </m:sub>
        </m:sSub>
        <m:r>
          <m:t>+p</m:t>
        </m:r>
        <m:nary>
          <m:naryPr>
            <m:chr m:val="∑"/>
            <m:limLoc m:val="subSup"/>
            <m:grow m:val="1"/>
            <m:subHide m:val="off"/>
            <m:supHide m:val="off"/>
          </m:naryPr>
          <m:sub>
            <m:r>
              <m:t>i=1</m:t>
            </m:r>
          </m:sub>
          <m:sup>
            <m:r>
              <m:t>L−1</m:t>
            </m:r>
          </m:sup>
          <m:e>
            <m:sSub>
              <m:e>
                <m:r>
                  <m:t>q</m:t>
                </m:r>
              </m:e>
              <m:sub>
                <m:r>
                  <m:t>t−i</m:t>
                </m:r>
              </m:sub>
            </m:sSub>
          </m:e>
        </m:nary>
        <m:r>
          <m:t>,</m:t>
        </m:r>
        <m:r>
          <m:rPr>
            <m:sty m:val="p"/>
          </m:rPr>
          <m:t>  </m:t>
        </m:r>
        <m:r>
          <m:t>β=1</m:t>
        </m:r>
      </m:oMath>
      <w:r>
        <w:rPr>
          <w:rFonts w:ascii="Times New Roman" w:hAnsi="Times New Roman" w:eastAsia="宋体"/>
          <w:b w:val="0"/>
          <w:i w:val="0"/>
          <w:sz w:val="24"/>
        </w:rPr>
        <w:tab/>
      </w:r>
      <w:r>
        <w:rPr>
          <w:rFonts w:ascii="Times New Roman" w:hAnsi="Times New Roman" w:eastAsia="宋体"/>
          <w:b w:val="0"/>
          <w:i w:val="0"/>
          <w:sz w:val="24"/>
        </w:rPr>
        <w:t>(2-2)</w:t>
      </w:r>
    </w:p>
    <w:p>
      <w:pPr>
        <w:tabs>
          <w:tab w:pos="4156" w:val="center"/>
          <w:tab w:pos="8311" w:val="right"/>
        </w:tabs>
        <w:spacing w:line="360" w:lineRule="auto" w:before="60" w:after="60"/>
      </w:pPr>
      <w:r>
        <w:rPr>
          <w:rFonts w:ascii="Times New Roman" w:hAnsi="Times New Roman" w:eastAsia="宋体"/>
          <w:b w:val="0"/>
          <w:i w:val="0"/>
          <w:sz w:val="24"/>
        </w:rPr>
        <w:tab/>
      </w:r>
      <m:oMath>
        <m:sSub>
          <m:e>
            <m:r>
              <m:t>q</m:t>
            </m:r>
          </m:e>
          <m:sub>
            <m:r>
              <m:t>WNH</m:t>
            </m:r>
          </m:sub>
        </m:sSub>
        <m:r>
          <m:t>=</m:t>
        </m:r>
        <m:nary>
          <m:naryPr>
            <m:chr m:val="∑"/>
            <m:limLoc m:val="subSup"/>
            <m:grow m:val="1"/>
            <m:subHide m:val="off"/>
            <m:supHide m:val="on"/>
          </m:naryPr>
          <m:sub>
            <m:r>
              <m:t>o∈U</m:t>
            </m:r>
          </m:sub>
          <m:sup/>
          <m:e>
            <m:sSup>
              <m:e>
                <m:r>
                  <m:t>p</m:t>
                </m:r>
              </m:e>
              <m:sup>
                <m:nary>
                  <m:naryPr>
                    <m:chr m:val="∑"/>
                    <m:limLoc m:val="subSup"/>
                    <m:grow m:val="1"/>
                    <m:subHide m:val="off"/>
                    <m:supHide m:val="on"/>
                  </m:naryPr>
                  <m:sub>
                    <m:r>
                      <m:t>i</m:t>
                    </m:r>
                  </m:sub>
                  <m:sup/>
                  <m:e>
                    <m:sSub>
                      <m:e>
                        <m:r>
                          <m:t>y</m:t>
                        </m:r>
                      </m:e>
                      <m:sub>
                        <m:r>
                          <m:t>i</m:t>
                        </m:r>
                      </m:sub>
                    </m:sSub>
                  </m:e>
                </m:nary>
              </m:sup>
            </m:sSup>
          </m:e>
        </m:nary>
        <m:r>
          <m:t>(1−p</m:t>
        </m:r>
        <m:sSup>
          <m:e>
            <m:r>
              <m:t>)</m:t>
            </m:r>
          </m:e>
          <m:sup>
            <m:r>
              <m:t>L−1−</m:t>
            </m:r>
            <m:nary>
              <m:naryPr>
                <m:chr m:val="∑"/>
                <m:limLoc m:val="subSup"/>
                <m:grow m:val="1"/>
                <m:subHide m:val="off"/>
                <m:supHide m:val="on"/>
              </m:naryPr>
              <m:sub>
                <m:r>
                  <m:t>i</m:t>
                </m:r>
              </m:sub>
              <m:sup/>
              <m:e>
                <m:sSub>
                  <m:e>
                    <m:r>
                      <m:t>y</m:t>
                    </m:r>
                  </m:e>
                  <m:sub>
                    <m:r>
                      <m:t>i</m:t>
                    </m:r>
                  </m:sub>
                </m:sSub>
              </m:e>
            </m:nary>
          </m:sup>
        </m:sSup>
        <m:sSup>
          <m:e>
            <m:d>
              <m:dPr>
                <m:begChr m:val="["/>
                <m:sepChr m:val="−"/>
                <m:endChr m:val="]"/>
              </m:dPr>
              <m:e>
                <m:sSub>
                  <m:e>
                    <m:r>
                      <m:t>S</m:t>
                    </m:r>
                  </m:e>
                  <m:sub>
                    <m:r>
                      <m:t>L</m:t>
                    </m:r>
                  </m:sub>
                </m:sSub>
              </m:e>
              <m:e>
                <m:sSub>
                  <m:e>
                    <m:r>
                      <m:t>I</m:t>
                    </m:r>
                  </m:e>
                  <m:sub>
                    <m:r>
                      <m:t>t</m:t>
                    </m:r>
                  </m:sub>
                </m:sSub>
              </m:e>
              <m:e>
                <m:nary>
                  <m:naryPr>
                    <m:chr m:val="∑"/>
                    <m:limLoc m:val="subSup"/>
                    <m:grow m:val="1"/>
                    <m:subHide m:val="off"/>
                    <m:supHide m:val="off"/>
                  </m:naryPr>
                  <m:sub>
                    <m:r>
                      <m:t>i=1</m:t>
                    </m:r>
                  </m:sub>
                  <m:sup>
                    <m:r>
                      <m:t>L−1</m:t>
                    </m:r>
                  </m:sup>
                  <m:e>
                    <m:sSub>
                      <m:e>
                        <m:r>
                          <m:t>y</m:t>
                        </m:r>
                      </m:e>
                      <m:sub>
                        <m:r>
                          <m:t>i</m:t>
                        </m:r>
                      </m:sub>
                    </m:sSub>
                  </m:e>
                </m:nary>
                <m:sSub>
                  <m:e>
                    <m:r>
                      <m:t>q</m:t>
                    </m:r>
                  </m:e>
                  <m:sub>
                    <m:r>
                      <m:t>t+i−L</m:t>
                    </m:r>
                  </m:sub>
                </m:sSub>
              </m:e>
            </m:d>
          </m:e>
          <m:sup>
            <m:r>
              <m:t>+</m:t>
            </m:r>
          </m:sup>
        </m:sSup>
      </m:oMath>
      <w:r>
        <w:rPr>
          <w:rFonts w:ascii="Times New Roman" w:hAnsi="Times New Roman" w:eastAsia="宋体"/>
          <w:b w:val="0"/>
          <w:i w:val="0"/>
          <w:sz w:val="24"/>
        </w:rPr>
        <w:tab/>
      </w:r>
      <w:r>
        <w:rPr>
          <w:rFonts w:ascii="Times New Roman" w:hAnsi="Times New Roman" w:eastAsia="宋体"/>
          <w:b w:val="0"/>
          <w:i w:val="0"/>
          <w:sz w:val="24"/>
        </w:rPr>
        <w:t>(2-3)</w:t>
      </w:r>
    </w:p>
    <w:p>
      <w:pPr>
        <w:spacing w:line="360" w:lineRule="auto" w:after="120"/>
        <w:ind w:firstLine="480"/>
      </w:pPr>
      <w:r>
        <w:rPr>
          <w:rFonts w:ascii="Times New Roman" w:hAnsi="Times New Roman" w:eastAsia="宋体"/>
          <w:b w:val="0"/>
          <w:i w:val="0"/>
          <w:sz w:val="24"/>
        </w:rPr>
        <w:t>式(2-3)即原文式(4)：枚举管道订单良率的 2^{L−1} 条样本路径 U={0,1}^{L−1}，对每条路径的理想订货量按概率加权平均；L≤1 时退化为 [S_L−I_t]⁺。原论文进一步提出 GDSH（把式(2-3)的权重换成经梯度搜索的状态无关自由参数，原文式(5)）与 DRL（权重由网络 ζ_θ(s_t) 状态相关地输出，原文式(6)(7)）。</w:t>
      </w:r>
    </w:p>
    <w:p>
      <w:pPr>
        <w:spacing w:line="360" w:lineRule="auto" w:after="40"/>
      </w:pPr>
      <w:r>
        <w:rPr>
          <w:rFonts w:ascii="Times New Roman" w:hAnsi="Times New Roman" w:eastAsia="宋体"/>
          <w:b/>
          <w:i w:val="0"/>
          <w:sz w:val="24"/>
        </w:rPr>
        <w:t>注记2.1（关于 LIR 的准则适配）。</w:t>
      </w:r>
    </w:p>
    <w:p>
      <w:pPr>
        <w:spacing w:line="360" w:lineRule="auto" w:after="160"/>
        <w:ind w:firstLine="480"/>
      </w:pPr>
      <w:r>
        <w:rPr>
          <w:rFonts w:ascii="Times New Roman" w:hAnsi="Times New Roman" w:eastAsia="宋体"/>
          <w:b w:val="0"/>
          <w:i w:val="0"/>
          <w:sz w:val="24"/>
        </w:rPr>
        <w:t>LIR 原为最小化长期平均成本的准则设计（原文注记1亦有同样讨论）；因其是公认的高效启发式，原论文与本文均在折扣成本准则下继续将其作为基准。本文沿用 β=1 的实证选择：原论文发现 β=1 时成本低于 β=1/p。</w:t>
      </w:r>
    </w:p>
    <w:p>
      <w:pPr>
        <w:pStyle w:val="Heading2"/>
      </w:pPr>
      <w:r>
        <w:t>2.2 扩展动机与总体路线</w:t>
      </w:r>
    </w:p>
    <w:p>
      <w:pPr>
        <w:spacing w:line="360" w:lineRule="auto" w:after="120"/>
        <w:ind w:firstLine="480"/>
      </w:pPr>
      <w:r>
        <w:rPr>
          <w:rFonts w:ascii="Times New Roman" w:hAnsi="Times New Roman" w:eastAsia="宋体"/>
          <w:b w:val="0"/>
          <w:i w:val="0"/>
          <w:sz w:val="24"/>
        </w:rPr>
        <w:t>原论文框架的两点遗留局限构成本文的扩展空间：（i）需求 IID 且策略不含时间信息，无法应对季节性波动；（ii）动作标量且供应单源，无法表达“低成本慢渠道＋高成本快渠道”的双源协同。两条扩展既可单独验证（控制变量）也可联合部署（完整模型），对应仓库中的三套环境与两组训练代码：</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fill="D9D9D9"/>
          </w:tcPr>
          <w:p>
            <w:pPr>
              <w:jc w:val="center"/>
            </w:pPr>
            <w:r>
              <w:rPr>
                <w:rFonts w:ascii="Times New Roman" w:hAnsi="Times New Roman" w:eastAsia="宋体"/>
                <w:b/>
                <w:i w:val="0"/>
                <w:sz w:val="21"/>
              </w:rPr>
              <w:t>阶段</w:t>
            </w:r>
          </w:p>
        </w:tc>
        <w:tc>
          <w:tcPr>
            <w:tcW w:type="dxa" w:w="2078"/>
            <w:shd w:val="clear" w:fill="D9D9D9"/>
          </w:tcPr>
          <w:p>
            <w:pPr>
              <w:jc w:val="center"/>
            </w:pPr>
            <w:r>
              <w:rPr>
                <w:rFonts w:ascii="Times New Roman" w:hAnsi="Times New Roman" w:eastAsia="宋体"/>
                <w:b/>
                <w:i w:val="0"/>
                <w:sz w:val="21"/>
              </w:rPr>
              <w:t>场景</w:t>
            </w:r>
          </w:p>
        </w:tc>
        <w:tc>
          <w:tcPr>
            <w:tcW w:type="dxa" w:w="2078"/>
            <w:shd w:val="clear" w:fill="D9D9D9"/>
          </w:tcPr>
          <w:p>
            <w:pPr>
              <w:jc w:val="center"/>
            </w:pPr>
            <w:r>
              <w:rPr>
                <w:rFonts w:ascii="Times New Roman" w:hAnsi="Times New Roman" w:eastAsia="宋体"/>
                <w:b/>
                <w:i w:val="0"/>
                <w:sz w:val="21"/>
              </w:rPr>
              <w:t>环境/训练代码</w:t>
            </w:r>
          </w:p>
        </w:tc>
        <w:tc>
          <w:tcPr>
            <w:tcW w:type="dxa" w:w="2078"/>
            <w:shd w:val="clear" w:fill="D9D9D9"/>
          </w:tcPr>
          <w:p>
            <w:pPr>
              <w:jc w:val="center"/>
            </w:pPr>
            <w:r>
              <w:rPr>
                <w:rFonts w:ascii="Times New Roman" w:hAnsi="Times New Roman" w:eastAsia="宋体"/>
                <w:b/>
                <w:i w:val="0"/>
                <w:sz w:val="21"/>
              </w:rPr>
              <w:t>参与策略</w:t>
            </w:r>
          </w:p>
        </w:tc>
      </w:tr>
      <w:tr>
        <w:tc>
          <w:tcPr>
            <w:tcW w:type="dxa" w:w="2078"/>
          </w:tcPr>
          <w:p>
            <w:pPr>
              <w:jc w:val="left"/>
            </w:pPr>
            <w:r>
              <w:rPr>
                <w:rFonts w:ascii="Times New Roman" w:hAnsi="Times New Roman" w:eastAsia="宋体"/>
                <w:b w:val="0"/>
                <w:i w:val="0"/>
                <w:sz w:val="21"/>
              </w:rPr>
              <w:t>基准（原文复现）</w:t>
            </w:r>
          </w:p>
        </w:tc>
        <w:tc>
          <w:tcPr>
            <w:tcW w:type="dxa" w:w="2078"/>
          </w:tcPr>
          <w:p>
            <w:pPr>
              <w:jc w:val="center"/>
            </w:pPr>
            <w:r>
              <w:rPr>
                <w:rFonts w:ascii="Times New Roman" w:hAnsi="Times New Roman" w:eastAsia="宋体"/>
                <w:b w:val="0"/>
                <w:i w:val="0"/>
                <w:sz w:val="21"/>
              </w:rPr>
              <w:t>单源＋稳态需求</w:t>
            </w:r>
          </w:p>
        </w:tc>
        <w:tc>
          <w:tcPr>
            <w:tcW w:type="dxa" w:w="2078"/>
          </w:tcPr>
          <w:p>
            <w:pPr>
              <w:jc w:val="center"/>
            </w:pPr>
            <w:r>
              <w:rPr>
                <w:rFonts w:ascii="Times New Roman" w:hAnsi="Times New Roman" w:eastAsia="宋体"/>
                <w:b w:val="0"/>
                <w:i w:val="0"/>
                <w:sz w:val="21"/>
              </w:rPr>
              <w:t>main.py / train.py / test.py</w:t>
            </w:r>
          </w:p>
        </w:tc>
        <w:tc>
          <w:tcPr>
            <w:tcW w:type="dxa" w:w="2078"/>
          </w:tcPr>
          <w:p>
            <w:pPr>
              <w:jc w:val="center"/>
            </w:pPr>
            <w:r>
              <w:rPr>
                <w:rFonts w:ascii="Times New Roman" w:hAnsi="Times New Roman" w:eastAsia="宋体"/>
                <w:b w:val="0"/>
                <w:i w:val="0"/>
                <w:sz w:val="21"/>
              </w:rPr>
              <w:t>BASE, LIR, WNH, 基准DRL</w:t>
            </w:r>
          </w:p>
        </w:tc>
      </w:tr>
      <w:tr>
        <w:tc>
          <w:tcPr>
            <w:tcW w:type="dxa" w:w="2078"/>
          </w:tcPr>
          <w:p>
            <w:pPr>
              <w:jc w:val="left"/>
            </w:pPr>
            <w:r>
              <w:rPr>
                <w:rFonts w:ascii="Times New Roman" w:hAnsi="Times New Roman" w:eastAsia="宋体"/>
                <w:b w:val="0"/>
                <w:i w:val="0"/>
                <w:sz w:val="21"/>
              </w:rPr>
              <w:t>扩展一</w:t>
            </w:r>
          </w:p>
        </w:tc>
        <w:tc>
          <w:tcPr>
            <w:tcW w:type="dxa" w:w="2078"/>
          </w:tcPr>
          <w:p>
            <w:pPr>
              <w:jc w:val="center"/>
            </w:pPr>
            <w:r>
              <w:rPr>
                <w:rFonts w:ascii="Times New Roman" w:hAnsi="Times New Roman" w:eastAsia="宋体"/>
                <w:b w:val="0"/>
                <w:i w:val="0"/>
                <w:sz w:val="21"/>
              </w:rPr>
              <w:t>单源＋季节性需求</w:t>
            </w:r>
          </w:p>
        </w:tc>
        <w:tc>
          <w:tcPr>
            <w:tcW w:type="dxa" w:w="2078"/>
          </w:tcPr>
          <w:p>
            <w:pPr>
              <w:jc w:val="center"/>
            </w:pPr>
            <w:r>
              <w:rPr>
                <w:rFonts w:ascii="Times New Roman" w:hAnsi="Times New Roman" w:eastAsia="宋体"/>
                <w:b w:val="0"/>
                <w:i w:val="0"/>
                <w:sz w:val="21"/>
              </w:rPr>
              <w:t>main_seasonal.py / train_seasonal.py</w:t>
            </w:r>
          </w:p>
        </w:tc>
        <w:tc>
          <w:tcPr>
            <w:tcW w:type="dxa" w:w="2078"/>
          </w:tcPr>
          <w:p>
            <w:pPr>
              <w:jc w:val="center"/>
            </w:pPr>
            <w:r>
              <w:rPr>
                <w:rFonts w:ascii="Times New Roman" w:hAnsi="Times New Roman" w:eastAsia="宋体"/>
                <w:b w:val="0"/>
                <w:i w:val="0"/>
                <w:sz w:val="21"/>
              </w:rPr>
              <w:t>BASE, LIR, WNH, DRL-seasonal</w:t>
            </w:r>
          </w:p>
        </w:tc>
      </w:tr>
      <w:tr>
        <w:tc>
          <w:tcPr>
            <w:tcW w:type="dxa" w:w="2078"/>
          </w:tcPr>
          <w:p>
            <w:pPr>
              <w:jc w:val="left"/>
            </w:pPr>
            <w:r>
              <w:rPr>
                <w:rFonts w:ascii="Times New Roman" w:hAnsi="Times New Roman" w:eastAsia="宋体"/>
                <w:b w:val="0"/>
                <w:i w:val="0"/>
                <w:sz w:val="21"/>
              </w:rPr>
              <w:t>扩展二（完整）</w:t>
            </w:r>
          </w:p>
        </w:tc>
        <w:tc>
          <w:tcPr>
            <w:tcW w:type="dxa" w:w="2078"/>
          </w:tcPr>
          <w:p>
            <w:pPr>
              <w:jc w:val="center"/>
            </w:pPr>
            <w:r>
              <w:rPr>
                <w:rFonts w:ascii="Times New Roman" w:hAnsi="Times New Roman" w:eastAsia="宋体"/>
                <w:b w:val="0"/>
                <w:i w:val="0"/>
                <w:sz w:val="21"/>
              </w:rPr>
              <w:t>双源＋季节性需求</w:t>
            </w:r>
          </w:p>
        </w:tc>
        <w:tc>
          <w:tcPr>
            <w:tcW w:type="dxa" w:w="2078"/>
          </w:tcPr>
          <w:p>
            <w:pPr>
              <w:jc w:val="center"/>
            </w:pPr>
            <w:r>
              <w:rPr>
                <w:rFonts w:ascii="Times New Roman" w:hAnsi="Times New Roman" w:eastAsia="宋体"/>
                <w:b w:val="0"/>
                <w:i w:val="0"/>
                <w:sz w:val="21"/>
              </w:rPr>
              <w:t>main_dual.py / train_dual.py</w:t>
            </w:r>
          </w:p>
        </w:tc>
        <w:tc>
          <w:tcPr>
            <w:tcW w:type="dxa" w:w="2078"/>
          </w:tcPr>
          <w:p>
            <w:pPr>
              <w:jc w:val="center"/>
            </w:pPr>
            <w:r>
              <w:rPr>
                <w:rFonts w:ascii="Times New Roman" w:hAnsi="Times New Roman" w:eastAsia="宋体"/>
                <w:b w:val="0"/>
                <w:i w:val="0"/>
                <w:sz w:val="21"/>
              </w:rPr>
              <w:t>LIR, WNH, NV, HEUR, DRL-full</w:t>
            </w:r>
          </w:p>
        </w:tc>
      </w:tr>
    </w:tbl>
    <w:p>
      <w:pPr>
        <w:spacing w:after="0"/>
      </w:pPr>
    </w:p>
    <w:p>
      <w:pPr>
        <w:spacing w:line="288" w:lineRule="auto" w:before="80" w:after="120"/>
        <w:jc w:val="center"/>
      </w:pPr>
      <w:r>
        <w:rPr>
          <w:rFonts w:ascii="Times New Roman" w:hAnsi="Times New Roman" w:eastAsia="宋体"/>
          <w:b/>
          <w:i w:val="0"/>
          <w:sz w:val="21"/>
        </w:rPr>
        <w:t>表2-1 扩展路线与代码对照</w:t>
      </w:r>
    </w:p>
    <w:p>
      <w:pPr>
        <w:pStyle w:val="Heading2"/>
      </w:pPr>
      <w:r>
        <w:t>2.3 记号对应关系</w:t>
      </w:r>
    </w:p>
    <w:p>
      <w:pPr>
        <w:spacing w:line="360" w:lineRule="auto" w:after="120"/>
        <w:ind w:firstLine="480"/>
      </w:pPr>
      <w:r>
        <w:rPr>
          <w:rFonts w:ascii="Times New Roman" w:hAnsi="Times New Roman" w:eastAsia="宋体"/>
          <w:b w:val="0"/>
          <w:i w:val="0"/>
          <w:sz w:val="24"/>
        </w:rPr>
        <w:t>为便于与原论文及代码互证，表2-2 给出三方记号映射；此后正文一律使用本文符号。</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fill="D9D9D9"/>
          </w:tcPr>
          <w:p>
            <w:pPr>
              <w:jc w:val="center"/>
            </w:pPr>
            <w:r>
              <w:rPr>
                <w:rFonts w:ascii="Times New Roman" w:hAnsi="Times New Roman" w:eastAsia="宋体"/>
                <w:b/>
                <w:i w:val="0"/>
                <w:sz w:val="21"/>
              </w:rPr>
              <w:t>原论文符号</w:t>
            </w:r>
          </w:p>
        </w:tc>
        <w:tc>
          <w:tcPr>
            <w:tcW w:type="dxa" w:w="2078"/>
            <w:shd w:val="clear" w:fill="D9D9D9"/>
          </w:tcPr>
          <w:p>
            <w:pPr>
              <w:jc w:val="center"/>
            </w:pPr>
            <w:r>
              <w:rPr>
                <w:rFonts w:ascii="Times New Roman" w:hAnsi="Times New Roman" w:eastAsia="宋体"/>
                <w:b/>
                <w:i w:val="0"/>
                <w:sz w:val="21"/>
              </w:rPr>
              <w:t>含义</w:t>
            </w:r>
          </w:p>
        </w:tc>
        <w:tc>
          <w:tcPr>
            <w:tcW w:type="dxa" w:w="2078"/>
            <w:shd w:val="clear" w:fill="D9D9D9"/>
          </w:tcPr>
          <w:p>
            <w:pPr>
              <w:jc w:val="center"/>
            </w:pPr>
            <w:r>
              <w:rPr>
                <w:rFonts w:ascii="Times New Roman" w:hAnsi="Times New Roman" w:eastAsia="宋体"/>
                <w:b/>
                <w:i w:val="0"/>
                <w:sz w:val="21"/>
              </w:rPr>
              <w:t>本文符号</w:t>
            </w:r>
          </w:p>
        </w:tc>
        <w:tc>
          <w:tcPr>
            <w:tcW w:type="dxa" w:w="2078"/>
            <w:shd w:val="clear" w:fill="D9D9D9"/>
          </w:tcPr>
          <w:p>
            <w:pPr>
              <w:jc w:val="center"/>
            </w:pPr>
            <w:r>
              <w:rPr>
                <w:rFonts w:ascii="Times New Roman" w:hAnsi="Times New Roman" w:eastAsia="宋体"/>
                <w:b/>
                <w:i w:val="0"/>
                <w:sz w:val="21"/>
              </w:rPr>
              <w:t>代码标识符</w:t>
            </w:r>
          </w:p>
        </w:tc>
      </w:tr>
      <w:tr>
        <w:tc>
          <w:tcPr>
            <w:tcW w:type="dxa" w:w="2078"/>
          </w:tcPr>
          <w:p>
            <w:pPr>
              <w:jc w:val="left"/>
            </w:pPr>
            <w:r>
              <w:rPr>
                <w:rFonts w:ascii="Times New Roman" w:hAnsi="Times New Roman" w:eastAsia="宋体"/>
                <w:b w:val="0"/>
                <w:i w:val="0"/>
                <w:sz w:val="21"/>
              </w:rPr>
              <w:t>c_o</w:t>
            </w:r>
          </w:p>
        </w:tc>
        <w:tc>
          <w:tcPr>
            <w:tcW w:type="dxa" w:w="2078"/>
          </w:tcPr>
          <w:p>
            <w:pPr>
              <w:jc w:val="center"/>
            </w:pPr>
            <w:r>
              <w:rPr>
                <w:rFonts w:ascii="Times New Roman" w:hAnsi="Times New Roman" w:eastAsia="宋体"/>
                <w:b w:val="0"/>
                <w:i w:val="0"/>
                <w:sz w:val="21"/>
              </w:rPr>
              <w:t>常规单位订购成本（到货付款）</w:t>
            </w:r>
          </w:p>
        </w:tc>
        <w:tc>
          <w:tcPr>
            <w:tcW w:type="dxa" w:w="2078"/>
          </w:tcPr>
          <w:p>
            <w:pPr>
              <w:jc w:val="center"/>
            </w:pPr>
            <w:r>
              <w:rPr>
                <w:rFonts w:ascii="Times New Roman" w:hAnsi="Times New Roman" w:eastAsia="宋体"/>
                <w:b w:val="0"/>
                <w:i w:val="0"/>
                <w:sz w:val="21"/>
              </w:rPr>
              <w:t>c1</w:t>
            </w:r>
          </w:p>
        </w:tc>
        <w:tc>
          <w:tcPr>
            <w:tcW w:type="dxa" w:w="2078"/>
          </w:tcPr>
          <w:p>
            <w:pPr>
              <w:jc w:val="center"/>
            </w:pPr>
            <w:r>
              <w:rPr>
                <w:rFonts w:ascii="Times New Roman" w:hAnsi="Times New Roman" w:eastAsia="宋体"/>
                <w:b w:val="0"/>
                <w:i w:val="0"/>
                <w:sz w:val="21"/>
              </w:rPr>
              <w:t>para.c1（兼容 para.c）</w:t>
            </w:r>
          </w:p>
        </w:tc>
      </w:tr>
      <w:tr>
        <w:tc>
          <w:tcPr>
            <w:tcW w:type="dxa" w:w="2078"/>
          </w:tcPr>
          <w:p>
            <w:pPr>
              <w:jc w:val="left"/>
            </w:pPr>
            <w:r>
              <w:rPr>
                <w:rFonts w:ascii="Times New Roman" w:hAnsi="Times New Roman" w:eastAsia="宋体"/>
                <w:b w:val="0"/>
                <w:i w:val="0"/>
                <w:sz w:val="21"/>
              </w:rPr>
              <w:t>c_b / c_h</w:t>
            </w:r>
          </w:p>
        </w:tc>
        <w:tc>
          <w:tcPr>
            <w:tcW w:type="dxa" w:w="2078"/>
          </w:tcPr>
          <w:p>
            <w:pPr>
              <w:jc w:val="center"/>
            </w:pPr>
            <w:r>
              <w:rPr>
                <w:rFonts w:ascii="Times New Roman" w:hAnsi="Times New Roman" w:eastAsia="宋体"/>
                <w:b w:val="0"/>
                <w:i w:val="0"/>
                <w:sz w:val="21"/>
              </w:rPr>
              <w:t>缺货 / 持有成本</w:t>
            </w:r>
          </w:p>
        </w:tc>
        <w:tc>
          <w:tcPr>
            <w:tcW w:type="dxa" w:w="2078"/>
          </w:tcPr>
          <w:p>
            <w:pPr>
              <w:jc w:val="center"/>
            </w:pPr>
            <w:r>
              <w:rPr>
                <w:rFonts w:ascii="Times New Roman" w:hAnsi="Times New Roman" w:eastAsia="宋体"/>
                <w:b w:val="0"/>
                <w:i w:val="0"/>
                <w:sz w:val="21"/>
              </w:rPr>
              <w:t>b / h</w:t>
            </w:r>
          </w:p>
        </w:tc>
        <w:tc>
          <w:tcPr>
            <w:tcW w:type="dxa" w:w="2078"/>
          </w:tcPr>
          <w:p>
            <w:pPr>
              <w:jc w:val="center"/>
            </w:pPr>
            <w:r>
              <w:rPr>
                <w:rFonts w:ascii="Times New Roman" w:hAnsi="Times New Roman" w:eastAsia="宋体"/>
                <w:b w:val="0"/>
                <w:i w:val="0"/>
                <w:sz w:val="21"/>
              </w:rPr>
              <w:t>para.b / para.h</w:t>
            </w:r>
          </w:p>
        </w:tc>
      </w:tr>
      <w:tr>
        <w:tc>
          <w:tcPr>
            <w:tcW w:type="dxa" w:w="2078"/>
          </w:tcPr>
          <w:p>
            <w:pPr>
              <w:jc w:val="left"/>
            </w:pPr>
            <w:r>
              <w:rPr>
                <w:rFonts w:ascii="Times New Roman" w:hAnsi="Times New Roman" w:eastAsia="宋体"/>
                <w:b w:val="0"/>
                <w:i w:val="0"/>
                <w:sz w:val="21"/>
              </w:rPr>
              <w:t>μ_D, σ_D</w:t>
            </w:r>
          </w:p>
        </w:tc>
        <w:tc>
          <w:tcPr>
            <w:tcW w:type="dxa" w:w="2078"/>
          </w:tcPr>
          <w:p>
            <w:pPr>
              <w:jc w:val="center"/>
            </w:pPr>
            <w:r>
              <w:rPr>
                <w:rFonts w:ascii="Times New Roman" w:hAnsi="Times New Roman" w:eastAsia="宋体"/>
                <w:b w:val="0"/>
                <w:i w:val="0"/>
                <w:sz w:val="21"/>
              </w:rPr>
              <w:t>需求均值 / 标准差（常数）</w:t>
            </w:r>
          </w:p>
        </w:tc>
        <w:tc>
          <w:tcPr>
            <w:tcW w:type="dxa" w:w="2078"/>
          </w:tcPr>
          <w:p>
            <w:pPr>
              <w:jc w:val="center"/>
            </w:pPr>
            <w:r>
              <w:rPr>
                <w:rFonts w:ascii="Times New Roman" w:hAnsi="Times New Roman" w:eastAsia="宋体"/>
                <w:b w:val="0"/>
                <w:i w:val="0"/>
                <w:sz w:val="21"/>
              </w:rPr>
              <w:t>μ(t), σ(t)</w:t>
            </w:r>
          </w:p>
        </w:tc>
        <w:tc>
          <w:tcPr>
            <w:tcW w:type="dxa" w:w="2078"/>
          </w:tcPr>
          <w:p>
            <w:pPr>
              <w:jc w:val="center"/>
            </w:pPr>
            <w:r>
              <w:rPr>
                <w:rFonts w:ascii="Times New Roman" w:hAnsi="Times New Roman" w:eastAsia="宋体"/>
                <w:b w:val="0"/>
                <w:i w:val="0"/>
                <w:sz w:val="21"/>
              </w:rPr>
              <w:t>Para.mu_t(t) / sigma_t(t)</w:t>
            </w:r>
          </w:p>
        </w:tc>
      </w:tr>
      <w:tr>
        <w:tc>
          <w:tcPr>
            <w:tcW w:type="dxa" w:w="2078"/>
          </w:tcPr>
          <w:p>
            <w:pPr>
              <w:jc w:val="left"/>
            </w:pPr>
            <w:r>
              <w:rPr>
                <w:rFonts w:ascii="Times New Roman" w:hAnsi="Times New Roman" w:eastAsia="宋体"/>
                <w:b w:val="0"/>
                <w:i w:val="0"/>
                <w:sz w:val="21"/>
              </w:rPr>
              <w:t>p, Y_t</w:t>
            </w:r>
          </w:p>
        </w:tc>
        <w:tc>
          <w:tcPr>
            <w:tcW w:type="dxa" w:w="2078"/>
          </w:tcPr>
          <w:p>
            <w:pPr>
              <w:jc w:val="center"/>
            </w:pPr>
            <w:r>
              <w:rPr>
                <w:rFonts w:ascii="Times New Roman" w:hAnsi="Times New Roman" w:eastAsia="宋体"/>
                <w:b w:val="0"/>
                <w:i w:val="0"/>
                <w:sz w:val="21"/>
              </w:rPr>
              <w:t>良率成功概率及其实现</w:t>
            </w:r>
          </w:p>
        </w:tc>
        <w:tc>
          <w:tcPr>
            <w:tcW w:type="dxa" w:w="2078"/>
          </w:tcPr>
          <w:p>
            <w:pPr>
              <w:jc w:val="center"/>
            </w:pPr>
            <w:r>
              <w:rPr>
                <w:rFonts w:ascii="Times New Roman" w:hAnsi="Times New Roman" w:eastAsia="宋体"/>
                <w:b w:val="0"/>
                <w:i w:val="0"/>
                <w:sz w:val="21"/>
              </w:rPr>
              <w:t>p, y_t</w:t>
            </w:r>
          </w:p>
        </w:tc>
        <w:tc>
          <w:tcPr>
            <w:tcW w:type="dxa" w:w="2078"/>
          </w:tcPr>
          <w:p>
            <w:pPr>
              <w:jc w:val="center"/>
            </w:pPr>
            <w:r>
              <w:rPr>
                <w:rFonts w:ascii="Times New Roman" w:hAnsi="Times New Roman" w:eastAsia="宋体"/>
                <w:b w:val="0"/>
                <w:i w:val="0"/>
                <w:sz w:val="21"/>
              </w:rPr>
              <w:t>para.p / y_list[i]</w:t>
            </w:r>
          </w:p>
        </w:tc>
      </w:tr>
      <w:tr>
        <w:tc>
          <w:tcPr>
            <w:tcW w:type="dxa" w:w="2078"/>
          </w:tcPr>
          <w:p>
            <w:pPr>
              <w:jc w:val="left"/>
            </w:pPr>
            <w:r>
              <w:rPr>
                <w:rFonts w:ascii="Times New Roman" w:hAnsi="Times New Roman" w:eastAsia="宋体"/>
                <w:b w:val="0"/>
                <w:i w:val="0"/>
                <w:sz w:val="21"/>
              </w:rPr>
              <w:t>S_L</w:t>
            </w:r>
          </w:p>
        </w:tc>
        <w:tc>
          <w:tcPr>
            <w:tcW w:type="dxa" w:w="2078"/>
          </w:tcPr>
          <w:p>
            <w:pPr>
              <w:jc w:val="center"/>
            </w:pPr>
            <w:r>
              <w:rPr>
                <w:rFonts w:ascii="Times New Roman" w:hAnsi="Times New Roman" w:eastAsia="宋体"/>
                <w:b w:val="0"/>
                <w:i w:val="0"/>
                <w:sz w:val="21"/>
              </w:rPr>
              <w:t>目标库存水平（静态）</w:t>
            </w:r>
          </w:p>
        </w:tc>
        <w:tc>
          <w:tcPr>
            <w:tcW w:type="dxa" w:w="2078"/>
          </w:tcPr>
          <w:p>
            <w:pPr>
              <w:jc w:val="center"/>
            </w:pPr>
            <w:r>
              <w:rPr>
                <w:rFonts w:ascii="Times New Roman" w:hAnsi="Times New Roman" w:eastAsia="宋体"/>
                <w:b w:val="0"/>
                <w:i w:val="0"/>
                <w:sz w:val="21"/>
              </w:rPr>
              <w:t>SL(u)（动态化）</w:t>
            </w:r>
          </w:p>
        </w:tc>
        <w:tc>
          <w:tcPr>
            <w:tcW w:type="dxa" w:w="2078"/>
          </w:tcPr>
          <w:p>
            <w:pPr>
              <w:jc w:val="center"/>
            </w:pPr>
            <w:r>
              <w:rPr>
                <w:rFonts w:ascii="Times New Roman" w:hAnsi="Times New Roman" w:eastAsia="宋体"/>
                <w:b w:val="0"/>
                <w:i w:val="0"/>
                <w:sz w:val="21"/>
              </w:rPr>
              <w:t>Para.SL_t(u)</w:t>
            </w:r>
          </w:p>
        </w:tc>
      </w:tr>
      <w:tr>
        <w:tc>
          <w:tcPr>
            <w:tcW w:type="dxa" w:w="2078"/>
          </w:tcPr>
          <w:p>
            <w:pPr>
              <w:jc w:val="left"/>
            </w:pPr>
            <w:r>
              <w:rPr>
                <w:rFonts w:ascii="Times New Roman" w:hAnsi="Times New Roman" w:eastAsia="宋体"/>
                <w:b w:val="0"/>
                <w:i w:val="0"/>
                <w:sz w:val="21"/>
              </w:rPr>
              <w:t>—</w:t>
            </w:r>
          </w:p>
        </w:tc>
        <w:tc>
          <w:tcPr>
            <w:tcW w:type="dxa" w:w="2078"/>
          </w:tcPr>
          <w:p>
            <w:pPr>
              <w:jc w:val="center"/>
            </w:pPr>
            <w:r>
              <w:rPr>
                <w:rFonts w:ascii="Times New Roman" w:hAnsi="Times New Roman" w:eastAsia="宋体"/>
                <w:b w:val="0"/>
                <w:i w:val="0"/>
                <w:sz w:val="21"/>
              </w:rPr>
              <w:t>应急渠道报童水位（新增）</w:t>
            </w:r>
          </w:p>
        </w:tc>
        <w:tc>
          <w:tcPr>
            <w:tcW w:type="dxa" w:w="2078"/>
          </w:tcPr>
          <w:p>
            <w:pPr>
              <w:jc w:val="center"/>
            </w:pPr>
            <w:r>
              <w:rPr>
                <w:rFonts w:ascii="Times New Roman" w:hAnsi="Times New Roman" w:eastAsia="宋体"/>
                <w:b w:val="0"/>
                <w:i w:val="0"/>
                <w:sz w:val="21"/>
              </w:rPr>
              <w:t>S0(t)</w:t>
            </w:r>
          </w:p>
        </w:tc>
        <w:tc>
          <w:tcPr>
            <w:tcW w:type="dxa" w:w="2078"/>
          </w:tcPr>
          <w:p>
            <w:pPr>
              <w:jc w:val="center"/>
            </w:pPr>
            <w:r>
              <w:rPr>
                <w:rFonts w:ascii="Times New Roman" w:hAnsi="Times New Roman" w:eastAsia="宋体"/>
                <w:b w:val="0"/>
                <w:i w:val="0"/>
                <w:sz w:val="21"/>
              </w:rPr>
              <w:t>Para.S0_t(t)</w:t>
            </w:r>
          </w:p>
        </w:tc>
      </w:tr>
      <w:tr>
        <w:tc>
          <w:tcPr>
            <w:tcW w:type="dxa" w:w="2078"/>
          </w:tcPr>
          <w:p>
            <w:pPr>
              <w:jc w:val="left"/>
            </w:pPr>
            <w:r>
              <w:rPr>
                <w:rFonts w:ascii="Times New Roman" w:hAnsi="Times New Roman" w:eastAsia="宋体"/>
                <w:b w:val="0"/>
                <w:i w:val="0"/>
                <w:sz w:val="21"/>
              </w:rPr>
              <w:t>I_t, Q_t</w:t>
            </w:r>
          </w:p>
        </w:tc>
        <w:tc>
          <w:tcPr>
            <w:tcW w:type="dxa" w:w="2078"/>
          </w:tcPr>
          <w:p>
            <w:pPr>
              <w:jc w:val="center"/>
            </w:pPr>
            <w:r>
              <w:rPr>
                <w:rFonts w:ascii="Times New Roman" w:hAnsi="Times New Roman" w:eastAsia="宋体"/>
                <w:b w:val="0"/>
                <w:i w:val="0"/>
                <w:sz w:val="21"/>
              </w:rPr>
              <w:t>库存水平 / 管道订单向量</w:t>
            </w:r>
          </w:p>
        </w:tc>
        <w:tc>
          <w:tcPr>
            <w:tcW w:type="dxa" w:w="2078"/>
          </w:tcPr>
          <w:p>
            <w:pPr>
              <w:jc w:val="center"/>
            </w:pPr>
            <w:r>
              <w:rPr>
                <w:rFonts w:ascii="Times New Roman" w:hAnsi="Times New Roman" w:eastAsia="宋体"/>
                <w:b w:val="0"/>
                <w:i w:val="0"/>
                <w:sz w:val="21"/>
              </w:rPr>
              <w:t>I_t, q_vector</w:t>
            </w:r>
          </w:p>
        </w:tc>
        <w:tc>
          <w:tcPr>
            <w:tcW w:type="dxa" w:w="2078"/>
          </w:tcPr>
          <w:p>
            <w:pPr>
              <w:jc w:val="center"/>
            </w:pPr>
            <w:r>
              <w:rPr>
                <w:rFonts w:ascii="Times New Roman" w:hAnsi="Times New Roman" w:eastAsia="宋体"/>
                <w:b w:val="0"/>
                <w:i w:val="0"/>
                <w:sz w:val="21"/>
              </w:rPr>
              <w:t>It / q_vector</w:t>
            </w:r>
          </w:p>
        </w:tc>
      </w:tr>
      <w:tr>
        <w:tc>
          <w:tcPr>
            <w:tcW w:type="dxa" w:w="2078"/>
          </w:tcPr>
          <w:p>
            <w:pPr>
              <w:jc w:val="left"/>
            </w:pPr>
            <w:r>
              <w:rPr>
                <w:rFonts w:ascii="Times New Roman" w:hAnsi="Times New Roman" w:eastAsia="宋体"/>
                <w:b w:val="0"/>
                <w:i w:val="0"/>
                <w:sz w:val="21"/>
              </w:rPr>
              <w:t>q_t</w:t>
            </w:r>
          </w:p>
        </w:tc>
        <w:tc>
          <w:tcPr>
            <w:tcW w:type="dxa" w:w="2078"/>
          </w:tcPr>
          <w:p>
            <w:pPr>
              <w:jc w:val="center"/>
            </w:pPr>
            <w:r>
              <w:rPr>
                <w:rFonts w:ascii="Times New Roman" w:hAnsi="Times New Roman" w:eastAsia="宋体"/>
                <w:b w:val="0"/>
                <w:i w:val="0"/>
                <w:sz w:val="21"/>
              </w:rPr>
              <w:t>订货量（标量动作）</w:t>
            </w:r>
          </w:p>
        </w:tc>
        <w:tc>
          <w:tcPr>
            <w:tcW w:type="dxa" w:w="2078"/>
          </w:tcPr>
          <w:p>
            <w:pPr>
              <w:jc w:val="center"/>
            </w:pPr>
            <w:r>
              <w:rPr>
                <w:rFonts w:ascii="Times New Roman" w:hAnsi="Times New Roman" w:eastAsia="宋体"/>
                <w:b w:val="0"/>
                <w:i w:val="0"/>
                <w:sz w:val="21"/>
              </w:rPr>
              <w:t>(q1_t, q2_t)</w:t>
            </w:r>
          </w:p>
        </w:tc>
        <w:tc>
          <w:tcPr>
            <w:tcW w:type="dxa" w:w="2078"/>
          </w:tcPr>
          <w:p>
            <w:pPr>
              <w:jc w:val="center"/>
            </w:pPr>
            <w:r>
              <w:rPr>
                <w:rFonts w:ascii="Times New Roman" w:hAnsi="Times New Roman" w:eastAsia="宋体"/>
                <w:b w:val="0"/>
                <w:i w:val="0"/>
                <w:sz w:val="21"/>
              </w:rPr>
              <w:t>action=(q1,q2)</w:t>
            </w:r>
          </w:p>
        </w:tc>
      </w:tr>
      <w:tr>
        <w:tc>
          <w:tcPr>
            <w:tcW w:type="dxa" w:w="2078"/>
          </w:tcPr>
          <w:p>
            <w:pPr>
              <w:jc w:val="left"/>
            </w:pPr>
            <w:r>
              <w:rPr>
                <w:rFonts w:ascii="Times New Roman" w:hAnsi="Times New Roman" w:eastAsia="宋体"/>
                <w:b w:val="0"/>
                <w:i w:val="0"/>
                <w:sz w:val="21"/>
              </w:rPr>
              <w:t>α（t=1..T，α^(t−1)）</w:t>
            </w:r>
          </w:p>
        </w:tc>
        <w:tc>
          <w:tcPr>
            <w:tcW w:type="dxa" w:w="2078"/>
          </w:tcPr>
          <w:p>
            <w:pPr>
              <w:jc w:val="center"/>
            </w:pPr>
            <w:r>
              <w:rPr>
                <w:rFonts w:ascii="Times New Roman" w:hAnsi="Times New Roman" w:eastAsia="宋体"/>
                <w:b w:val="0"/>
                <w:i w:val="0"/>
                <w:sz w:val="21"/>
              </w:rPr>
              <w:t>折扣因子</w:t>
            </w:r>
          </w:p>
        </w:tc>
        <w:tc>
          <w:tcPr>
            <w:tcW w:type="dxa" w:w="2078"/>
          </w:tcPr>
          <w:p>
            <w:pPr>
              <w:jc w:val="center"/>
            </w:pPr>
            <w:r>
              <w:rPr>
                <w:rFonts w:ascii="Times New Roman" w:hAnsi="Times New Roman" w:eastAsia="宋体"/>
                <w:b w:val="0"/>
                <w:i w:val="0"/>
                <w:sz w:val="21"/>
              </w:rPr>
              <w:t>α（t=0..T−1，α^t）</w:t>
            </w:r>
          </w:p>
        </w:tc>
        <w:tc>
          <w:tcPr>
            <w:tcW w:type="dxa" w:w="2078"/>
          </w:tcPr>
          <w:p>
            <w:pPr>
              <w:jc w:val="center"/>
            </w:pPr>
            <w:r>
              <w:rPr>
                <w:rFonts w:ascii="Times New Roman" w:hAnsi="Times New Roman" w:eastAsia="宋体"/>
                <w:b w:val="0"/>
                <w:i w:val="0"/>
                <w:sz w:val="21"/>
              </w:rPr>
              <w:t>para.alpha</w:t>
            </w:r>
          </w:p>
        </w:tc>
      </w:tr>
      <w:tr>
        <w:tc>
          <w:tcPr>
            <w:tcW w:type="dxa" w:w="2078"/>
          </w:tcPr>
          <w:p>
            <w:pPr>
              <w:jc w:val="left"/>
            </w:pPr>
            <w:r>
              <w:rPr>
                <w:rFonts w:ascii="Times New Roman" w:hAnsi="Times New Roman" w:eastAsia="宋体"/>
                <w:b w:val="0"/>
                <w:i w:val="0"/>
                <w:sz w:val="21"/>
              </w:rPr>
              <w:t>w_WNH</w:t>
            </w:r>
          </w:p>
        </w:tc>
        <w:tc>
          <w:tcPr>
            <w:tcW w:type="dxa" w:w="2078"/>
          </w:tcPr>
          <w:p>
            <w:pPr>
              <w:jc w:val="center"/>
            </w:pPr>
            <w:r>
              <w:rPr>
                <w:rFonts w:ascii="Times New Roman" w:hAnsi="Times New Roman" w:eastAsia="宋体"/>
                <w:b w:val="0"/>
                <w:i w:val="0"/>
                <w:sz w:val="21"/>
              </w:rPr>
              <w:t>WNH 路径权重向量</w:t>
            </w:r>
          </w:p>
        </w:tc>
        <w:tc>
          <w:tcPr>
            <w:tcW w:type="dxa" w:w="2078"/>
          </w:tcPr>
          <w:p>
            <w:pPr>
              <w:jc w:val="center"/>
            </w:pPr>
            <w:r>
              <w:rPr>
                <w:rFonts w:ascii="Times New Roman" w:hAnsi="Times New Roman" w:eastAsia="宋体"/>
                <w:b w:val="0"/>
                <w:i w:val="0"/>
                <w:sz w:val="21"/>
              </w:rPr>
              <w:t>P</w:t>
            </w:r>
          </w:p>
        </w:tc>
        <w:tc>
          <w:tcPr>
            <w:tcW w:type="dxa" w:w="2078"/>
          </w:tcPr>
          <w:p>
            <w:pPr>
              <w:jc w:val="center"/>
            </w:pPr>
            <w:r>
              <w:rPr>
                <w:rFonts w:ascii="Times New Roman" w:hAnsi="Times New Roman" w:eastAsia="宋体"/>
                <w:b w:val="0"/>
                <w:i w:val="0"/>
                <w:sz w:val="21"/>
              </w:rPr>
              <w:t>Qt_WNH.P</w:t>
            </w:r>
          </w:p>
        </w:tc>
      </w:tr>
      <w:tr>
        <w:tc>
          <w:tcPr>
            <w:tcW w:type="dxa" w:w="2078"/>
          </w:tcPr>
          <w:p>
            <w:pPr>
              <w:jc w:val="left"/>
            </w:pPr>
            <w:r>
              <w:rPr>
                <w:rFonts w:ascii="Times New Roman" w:hAnsi="Times New Roman" w:eastAsia="宋体"/>
                <w:b w:val="0"/>
                <w:i w:val="0"/>
                <w:sz w:val="21"/>
              </w:rPr>
              <w:t>δ（人工标量）</w:t>
            </w:r>
          </w:p>
        </w:tc>
        <w:tc>
          <w:tcPr>
            <w:tcW w:type="dxa" w:w="2078"/>
          </w:tcPr>
          <w:p>
            <w:pPr>
              <w:jc w:val="center"/>
            </w:pPr>
            <w:r>
              <w:rPr>
                <w:rFonts w:ascii="Times New Roman" w:hAnsi="Times New Roman" w:eastAsia="宋体"/>
                <w:b w:val="0"/>
                <w:i w:val="0"/>
                <w:sz w:val="21"/>
              </w:rPr>
              <w:t>权重盒半宽</w:t>
            </w:r>
          </w:p>
        </w:tc>
        <w:tc>
          <w:tcPr>
            <w:tcW w:type="dxa" w:w="2078"/>
          </w:tcPr>
          <w:p>
            <w:pPr>
              <w:jc w:val="center"/>
            </w:pPr>
            <w:r>
              <w:rPr>
                <w:rFonts w:ascii="Times New Roman" w:hAnsi="Times New Roman" w:eastAsia="宋体"/>
                <w:b w:val="0"/>
                <w:i w:val="0"/>
                <w:sz w:val="21"/>
              </w:rPr>
              <w:t>Δ（能量归一化）</w:t>
            </w:r>
          </w:p>
        </w:tc>
        <w:tc>
          <w:tcPr>
            <w:tcW w:type="dxa" w:w="2078"/>
          </w:tcPr>
          <w:p>
            <w:pPr>
              <w:jc w:val="center"/>
            </w:pPr>
            <w:r>
              <w:rPr>
                <w:rFonts w:ascii="Times New Roman" w:hAnsi="Times New Roman" w:eastAsia="宋体"/>
                <w:b w:val="0"/>
                <w:i w:val="0"/>
                <w:sz w:val="21"/>
              </w:rPr>
              <w:t>w_range</w:t>
            </w:r>
          </w:p>
        </w:tc>
      </w:tr>
      <w:tr>
        <w:tc>
          <w:tcPr>
            <w:tcW w:type="dxa" w:w="2078"/>
          </w:tcPr>
          <w:p>
            <w:pPr>
              <w:jc w:val="left"/>
            </w:pPr>
            <w:r>
              <w:rPr>
                <w:rFonts w:ascii="Times New Roman" w:hAnsi="Times New Roman" w:eastAsia="宋体"/>
                <w:b w:val="0"/>
                <w:i w:val="0"/>
                <w:sz w:val="21"/>
              </w:rPr>
              <w:t>G=exp((C−C_WNH)/C_WNH×100)</w:t>
            </w:r>
          </w:p>
        </w:tc>
        <w:tc>
          <w:tcPr>
            <w:tcW w:type="dxa" w:w="2078"/>
          </w:tcPr>
          <w:p>
            <w:pPr>
              <w:jc w:val="center"/>
            </w:pPr>
            <w:r>
              <w:rPr>
                <w:rFonts w:ascii="Times New Roman" w:hAnsi="Times New Roman" w:eastAsia="宋体"/>
                <w:b w:val="0"/>
                <w:i w:val="0"/>
                <w:sz w:val="21"/>
              </w:rPr>
              <w:t>相对指数损失</w:t>
            </w:r>
          </w:p>
        </w:tc>
        <w:tc>
          <w:tcPr>
            <w:tcW w:type="dxa" w:w="2078"/>
          </w:tcPr>
          <w:p>
            <w:pPr>
              <w:jc w:val="center"/>
            </w:pPr>
            <w:r>
              <w:rPr>
                <w:rFonts w:ascii="Times New Roman" w:hAnsi="Times New Roman" w:eastAsia="宋体"/>
                <w:b w:val="0"/>
                <w:i w:val="0"/>
                <w:sz w:val="21"/>
              </w:rPr>
              <w:t>ℒ（分母换 C_HEUR）</w:t>
            </w:r>
          </w:p>
        </w:tc>
        <w:tc>
          <w:tcPr>
            <w:tcW w:type="dxa" w:w="2078"/>
          </w:tcPr>
          <w:p>
            <w:pPr>
              <w:jc w:val="center"/>
            </w:pPr>
            <w:r>
              <w:rPr>
                <w:rFonts w:ascii="Times New Roman" w:hAnsi="Times New Roman" w:eastAsia="宋体"/>
                <w:b w:val="0"/>
                <w:i w:val="0"/>
                <w:sz w:val="21"/>
              </w:rPr>
              <w:t>avg_loss</w:t>
            </w:r>
          </w:p>
        </w:tc>
      </w:tr>
      <w:tr>
        <w:tc>
          <w:tcPr>
            <w:tcW w:type="dxa" w:w="2078"/>
          </w:tcPr>
          <w:p>
            <w:pPr>
              <w:jc w:val="left"/>
            </w:pPr>
            <w:r>
              <w:rPr>
                <w:rFonts w:ascii="Times New Roman" w:hAnsi="Times New Roman" w:eastAsia="宋体"/>
                <w:b w:val="0"/>
                <w:i w:val="0"/>
                <w:sz w:val="21"/>
              </w:rPr>
              <w:t>—</w:t>
            </w:r>
          </w:p>
        </w:tc>
        <w:tc>
          <w:tcPr>
            <w:tcW w:type="dxa" w:w="2078"/>
          </w:tcPr>
          <w:p>
            <w:pPr>
              <w:jc w:val="center"/>
            </w:pPr>
            <w:r>
              <w:rPr>
                <w:rFonts w:ascii="Times New Roman" w:hAnsi="Times New Roman" w:eastAsia="宋体"/>
                <w:b w:val="0"/>
                <w:i w:val="0"/>
                <w:sz w:val="21"/>
              </w:rPr>
              <w:t>季节参数（新增）</w:t>
            </w:r>
          </w:p>
        </w:tc>
        <w:tc>
          <w:tcPr>
            <w:tcW w:type="dxa" w:w="2078"/>
          </w:tcPr>
          <w:p>
            <w:pPr>
              <w:jc w:val="center"/>
            </w:pPr>
            <w:r>
              <w:rPr>
                <w:rFonts w:ascii="Times New Roman" w:hAnsi="Times New Roman" w:eastAsia="宋体"/>
                <w:b w:val="0"/>
                <w:i w:val="0"/>
                <w:sz w:val="21"/>
              </w:rPr>
              <w:t>μ_base, A, τ, cv</w:t>
            </w:r>
          </w:p>
        </w:tc>
        <w:tc>
          <w:tcPr>
            <w:tcW w:type="dxa" w:w="2078"/>
          </w:tcPr>
          <w:p>
            <w:pPr>
              <w:jc w:val="center"/>
            </w:pPr>
            <w:r>
              <w:rPr>
                <w:rFonts w:ascii="Times New Roman" w:hAnsi="Times New Roman" w:eastAsia="宋体"/>
                <w:b w:val="0"/>
                <w:i w:val="0"/>
                <w:sz w:val="21"/>
              </w:rPr>
              <w:t>para.mu_base/A/tau/cv</w:t>
            </w:r>
          </w:p>
        </w:tc>
      </w:tr>
    </w:tbl>
    <w:p>
      <w:pPr>
        <w:spacing w:after="0"/>
      </w:pPr>
    </w:p>
    <w:p>
      <w:pPr>
        <w:spacing w:line="288" w:lineRule="auto" w:before="80" w:after="120"/>
        <w:jc w:val="center"/>
      </w:pPr>
      <w:r>
        <w:rPr>
          <w:rFonts w:ascii="Times New Roman" w:hAnsi="Times New Roman" w:eastAsia="宋体"/>
          <w:b/>
          <w:i w:val="0"/>
          <w:sz w:val="21"/>
        </w:rPr>
        <w:t>表2-2 原论文符号—本文符号—代码标识符对照</w:t>
      </w:r>
    </w:p>
    <w:p>
      <w:pPr>
        <w:pStyle w:val="Heading1"/>
      </w:pPr>
      <w:r>
        <w:t>第三章 扩展模型的马尔可夫决策过程建模</w:t>
      </w:r>
    </w:p>
    <w:p>
      <w:pPr>
        <w:spacing w:line="360" w:lineRule="auto" w:after="120"/>
        <w:ind w:firstLine="480"/>
      </w:pPr>
      <w:r>
        <w:rPr>
          <w:rFonts w:ascii="Times New Roman" w:hAnsi="Times New Roman" w:eastAsia="宋体"/>
          <w:b w:val="0"/>
          <w:i w:val="0"/>
          <w:sz w:val="24"/>
        </w:rPr>
        <w:t>本章建立完整扩展模型（双源＋季节性，对应 main_dual.py 与 train_dual.py；单源季节性模型为其去掉应急渠道的特例）。叙述顺序沿用原论文第三节传统：先以文字完整走一遍单周期事件流，再给出数学定义。</w:t>
      </w:r>
    </w:p>
    <w:p>
      <w:pPr>
        <w:pStyle w:val="Heading2"/>
      </w:pPr>
      <w:r>
        <w:t>3.1 符号与假设</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fill="D9D9D9"/>
          </w:tcPr>
          <w:p>
            <w:pPr>
              <w:jc w:val="center"/>
            </w:pPr>
            <w:r>
              <w:rPr>
                <w:rFonts w:ascii="Times New Roman" w:hAnsi="Times New Roman" w:eastAsia="宋体"/>
                <w:b/>
                <w:i w:val="0"/>
                <w:sz w:val="21"/>
              </w:rPr>
              <w:t>符号</w:t>
            </w:r>
          </w:p>
        </w:tc>
        <w:tc>
          <w:tcPr>
            <w:tcW w:type="dxa" w:w="2771"/>
            <w:shd w:val="clear" w:fill="D9D9D9"/>
          </w:tcPr>
          <w:p>
            <w:pPr>
              <w:jc w:val="center"/>
            </w:pPr>
            <w:r>
              <w:rPr>
                <w:rFonts w:ascii="Times New Roman" w:hAnsi="Times New Roman" w:eastAsia="宋体"/>
                <w:b/>
                <w:i w:val="0"/>
                <w:sz w:val="21"/>
              </w:rPr>
              <w:t>含义</w:t>
            </w:r>
          </w:p>
        </w:tc>
        <w:tc>
          <w:tcPr>
            <w:tcW w:type="dxa" w:w="2771"/>
            <w:shd w:val="clear" w:fill="D9D9D9"/>
          </w:tcPr>
          <w:p>
            <w:pPr>
              <w:jc w:val="center"/>
            </w:pPr>
            <w:r>
              <w:rPr>
                <w:rFonts w:ascii="Times New Roman" w:hAnsi="Times New Roman" w:eastAsia="宋体"/>
                <w:b/>
                <w:i w:val="0"/>
                <w:sz w:val="21"/>
              </w:rPr>
              <w:t>实验取值</w:t>
            </w:r>
          </w:p>
        </w:tc>
      </w:tr>
      <w:tr>
        <w:tc>
          <w:tcPr>
            <w:tcW w:type="dxa" w:w="2771"/>
          </w:tcPr>
          <w:p>
            <w:pPr>
              <w:jc w:val="left"/>
            </w:pPr>
            <w:r>
              <w:rPr>
                <w:rFonts w:ascii="Times New Roman" w:hAnsi="Times New Roman" w:eastAsia="宋体"/>
                <w:b w:val="0"/>
                <w:i w:val="0"/>
                <w:sz w:val="21"/>
              </w:rPr>
              <w:t>L</w:t>
            </w:r>
          </w:p>
        </w:tc>
        <w:tc>
          <w:tcPr>
            <w:tcW w:type="dxa" w:w="2771"/>
          </w:tcPr>
          <w:p>
            <w:pPr>
              <w:jc w:val="center"/>
            </w:pPr>
            <w:r>
              <w:rPr>
                <w:rFonts w:ascii="Times New Roman" w:hAnsi="Times New Roman" w:eastAsia="宋体"/>
                <w:b w:val="0"/>
                <w:i w:val="0"/>
                <w:sz w:val="21"/>
              </w:rPr>
              <w:t>常规渠道提前期（期）</w:t>
            </w:r>
          </w:p>
        </w:tc>
        <w:tc>
          <w:tcPr>
            <w:tcW w:type="dxa" w:w="2771"/>
          </w:tcPr>
          <w:p>
            <w:pPr>
              <w:jc w:val="center"/>
            </w:pPr>
            <w:r>
              <w:rPr>
                <w:rFonts w:ascii="Times New Roman" w:hAnsi="Times New Roman" w:eastAsia="宋体"/>
                <w:b w:val="0"/>
                <w:i w:val="0"/>
                <w:sz w:val="21"/>
              </w:rPr>
              <w:t>2</w:t>
            </w:r>
          </w:p>
        </w:tc>
      </w:tr>
      <w:tr>
        <w:tc>
          <w:tcPr>
            <w:tcW w:type="dxa" w:w="2771"/>
          </w:tcPr>
          <w:p>
            <w:pPr>
              <w:jc w:val="left"/>
            </w:pPr>
            <w:r>
              <w:rPr>
                <w:rFonts w:ascii="Times New Roman" w:hAnsi="Times New Roman" w:eastAsia="宋体"/>
                <w:b w:val="0"/>
                <w:i w:val="0"/>
                <w:sz w:val="21"/>
              </w:rPr>
              <w:t>T</w:t>
            </w:r>
          </w:p>
        </w:tc>
        <w:tc>
          <w:tcPr>
            <w:tcW w:type="dxa" w:w="2771"/>
          </w:tcPr>
          <w:p>
            <w:pPr>
              <w:jc w:val="center"/>
            </w:pPr>
            <w:r>
              <w:rPr>
                <w:rFonts w:ascii="Times New Roman" w:hAnsi="Times New Roman" w:eastAsia="宋体"/>
                <w:b w:val="0"/>
                <w:i w:val="0"/>
                <w:sz w:val="21"/>
              </w:rPr>
              <w:t>规划期长度（回合步数）</w:t>
            </w:r>
          </w:p>
        </w:tc>
        <w:tc>
          <w:tcPr>
            <w:tcW w:type="dxa" w:w="2771"/>
          </w:tcPr>
          <w:p>
            <w:pPr>
              <w:jc w:val="center"/>
            </w:pPr>
            <w:r>
              <w:rPr>
                <w:rFonts w:ascii="Times New Roman" w:hAnsi="Times New Roman" w:eastAsia="宋体"/>
                <w:b w:val="0"/>
                <w:i w:val="0"/>
                <w:sz w:val="21"/>
              </w:rPr>
              <w:t>{50, 100}</w:t>
            </w:r>
          </w:p>
        </w:tc>
      </w:tr>
      <w:tr>
        <w:tc>
          <w:tcPr>
            <w:tcW w:type="dxa" w:w="2771"/>
          </w:tcPr>
          <w:p>
            <w:pPr>
              <w:jc w:val="left"/>
            </w:pPr>
            <w:r>
              <w:rPr>
                <w:rFonts w:ascii="Times New Roman" w:hAnsi="Times New Roman" w:eastAsia="宋体"/>
                <w:b w:val="0"/>
                <w:i w:val="0"/>
                <w:sz w:val="21"/>
              </w:rPr>
              <w:t>α</w:t>
            </w:r>
          </w:p>
        </w:tc>
        <w:tc>
          <w:tcPr>
            <w:tcW w:type="dxa" w:w="2771"/>
          </w:tcPr>
          <w:p>
            <w:pPr>
              <w:jc w:val="center"/>
            </w:pPr>
            <w:r>
              <w:rPr>
                <w:rFonts w:ascii="Times New Roman" w:hAnsi="Times New Roman" w:eastAsia="宋体"/>
                <w:b w:val="0"/>
                <w:i w:val="0"/>
                <w:sz w:val="21"/>
              </w:rPr>
              <w:t>折扣因子</w:t>
            </w:r>
          </w:p>
        </w:tc>
        <w:tc>
          <w:tcPr>
            <w:tcW w:type="dxa" w:w="2771"/>
          </w:tcPr>
          <w:p>
            <w:pPr>
              <w:jc w:val="center"/>
            </w:pPr>
            <w:r>
              <w:rPr>
                <w:rFonts w:ascii="Times New Roman" w:hAnsi="Times New Roman" w:eastAsia="宋体"/>
                <w:b w:val="0"/>
                <w:i w:val="0"/>
                <w:sz w:val="21"/>
              </w:rPr>
              <w:t>0.99</w:t>
            </w:r>
          </w:p>
        </w:tc>
      </w:tr>
      <w:tr>
        <w:tc>
          <w:tcPr>
            <w:tcW w:type="dxa" w:w="2771"/>
          </w:tcPr>
          <w:p>
            <w:pPr>
              <w:jc w:val="left"/>
            </w:pPr>
            <w:r>
              <w:rPr>
                <w:rFonts w:ascii="Times New Roman" w:hAnsi="Times New Roman" w:eastAsia="宋体"/>
                <w:b w:val="0"/>
                <w:i w:val="0"/>
                <w:sz w:val="21"/>
              </w:rPr>
              <w:t>μ_base</w:t>
            </w:r>
          </w:p>
        </w:tc>
        <w:tc>
          <w:tcPr>
            <w:tcW w:type="dxa" w:w="2771"/>
          </w:tcPr>
          <w:p>
            <w:pPr>
              <w:jc w:val="center"/>
            </w:pPr>
            <w:r>
              <w:rPr>
                <w:rFonts w:ascii="Times New Roman" w:hAnsi="Times New Roman" w:eastAsia="宋体"/>
                <w:b w:val="0"/>
                <w:i w:val="0"/>
                <w:sz w:val="21"/>
              </w:rPr>
              <w:t>基准需求均值</w:t>
            </w:r>
          </w:p>
        </w:tc>
        <w:tc>
          <w:tcPr>
            <w:tcW w:type="dxa" w:w="2771"/>
          </w:tcPr>
          <w:p>
            <w:pPr>
              <w:jc w:val="center"/>
            </w:pPr>
            <w:r>
              <w:rPr>
                <w:rFonts w:ascii="Times New Roman" w:hAnsi="Times New Roman" w:eastAsia="宋体"/>
                <w:b w:val="0"/>
                <w:i w:val="0"/>
                <w:sz w:val="21"/>
              </w:rPr>
              <w:t>10</w:t>
            </w:r>
          </w:p>
        </w:tc>
      </w:tr>
      <w:tr>
        <w:tc>
          <w:tcPr>
            <w:tcW w:type="dxa" w:w="2771"/>
          </w:tcPr>
          <w:p>
            <w:pPr>
              <w:jc w:val="left"/>
            </w:pPr>
            <w:r>
              <w:rPr>
                <w:rFonts w:ascii="Times New Roman" w:hAnsi="Times New Roman" w:eastAsia="宋体"/>
                <w:b w:val="0"/>
                <w:i w:val="0"/>
                <w:sz w:val="21"/>
              </w:rPr>
              <w:t>A</w:t>
            </w:r>
          </w:p>
        </w:tc>
        <w:tc>
          <w:tcPr>
            <w:tcW w:type="dxa" w:w="2771"/>
          </w:tcPr>
          <w:p>
            <w:pPr>
              <w:jc w:val="center"/>
            </w:pPr>
            <w:r>
              <w:rPr>
                <w:rFonts w:ascii="Times New Roman" w:hAnsi="Times New Roman" w:eastAsia="宋体"/>
                <w:b w:val="0"/>
                <w:i w:val="0"/>
                <w:sz w:val="21"/>
              </w:rPr>
              <w:t>季节振幅</w:t>
            </w:r>
          </w:p>
        </w:tc>
        <w:tc>
          <w:tcPr>
            <w:tcW w:type="dxa" w:w="2771"/>
          </w:tcPr>
          <w:p>
            <w:pPr>
              <w:jc w:val="center"/>
            </w:pPr>
            <w:r>
              <w:rPr>
                <w:rFonts w:ascii="Times New Roman" w:hAnsi="Times New Roman" w:eastAsia="宋体"/>
                <w:b w:val="0"/>
                <w:i w:val="0"/>
                <w:sz w:val="21"/>
              </w:rPr>
              <w:t>{0, 3, 6}</w:t>
            </w:r>
          </w:p>
        </w:tc>
      </w:tr>
      <w:tr>
        <w:tc>
          <w:tcPr>
            <w:tcW w:type="dxa" w:w="2771"/>
          </w:tcPr>
          <w:p>
            <w:pPr>
              <w:jc w:val="left"/>
            </w:pPr>
            <w:r>
              <w:rPr>
                <w:rFonts w:ascii="Times New Roman" w:hAnsi="Times New Roman" w:eastAsia="宋体"/>
                <w:b w:val="0"/>
                <w:i w:val="0"/>
                <w:sz w:val="21"/>
              </w:rPr>
              <w:t>τ</w:t>
            </w:r>
          </w:p>
        </w:tc>
        <w:tc>
          <w:tcPr>
            <w:tcW w:type="dxa" w:w="2771"/>
          </w:tcPr>
          <w:p>
            <w:pPr>
              <w:jc w:val="center"/>
            </w:pPr>
            <w:r>
              <w:rPr>
                <w:rFonts w:ascii="Times New Roman" w:hAnsi="Times New Roman" w:eastAsia="宋体"/>
                <w:b w:val="0"/>
                <w:i w:val="0"/>
                <w:sz w:val="21"/>
              </w:rPr>
              <w:t>季节周期长度</w:t>
            </w:r>
          </w:p>
        </w:tc>
        <w:tc>
          <w:tcPr>
            <w:tcW w:type="dxa" w:w="2771"/>
          </w:tcPr>
          <w:p>
            <w:pPr>
              <w:jc w:val="center"/>
            </w:pPr>
            <w:r>
              <w:rPr>
                <w:rFonts w:ascii="Times New Roman" w:hAnsi="Times New Roman" w:eastAsia="宋体"/>
                <w:b w:val="0"/>
                <w:i w:val="0"/>
                <w:sz w:val="21"/>
              </w:rPr>
              <w:t>20</w:t>
            </w:r>
          </w:p>
        </w:tc>
      </w:tr>
      <w:tr>
        <w:tc>
          <w:tcPr>
            <w:tcW w:type="dxa" w:w="2771"/>
          </w:tcPr>
          <w:p>
            <w:pPr>
              <w:jc w:val="left"/>
            </w:pPr>
            <w:r>
              <w:rPr>
                <w:rFonts w:ascii="Times New Roman" w:hAnsi="Times New Roman" w:eastAsia="宋体"/>
                <w:b w:val="0"/>
                <w:i w:val="0"/>
                <w:sz w:val="21"/>
              </w:rPr>
              <w:t>cv</w:t>
            </w:r>
          </w:p>
        </w:tc>
        <w:tc>
          <w:tcPr>
            <w:tcW w:type="dxa" w:w="2771"/>
          </w:tcPr>
          <w:p>
            <w:pPr>
              <w:jc w:val="center"/>
            </w:pPr>
            <w:r>
              <w:rPr>
                <w:rFonts w:ascii="Times New Roman" w:hAnsi="Times New Roman" w:eastAsia="宋体"/>
                <w:b w:val="0"/>
                <w:i w:val="0"/>
                <w:sz w:val="21"/>
              </w:rPr>
              <w:t>需求变异系数</w:t>
            </w:r>
          </w:p>
        </w:tc>
        <w:tc>
          <w:tcPr>
            <w:tcW w:type="dxa" w:w="2771"/>
          </w:tcPr>
          <w:p>
            <w:pPr>
              <w:jc w:val="center"/>
            </w:pPr>
            <w:r>
              <w:rPr>
                <w:rFonts w:ascii="Times New Roman" w:hAnsi="Times New Roman" w:eastAsia="宋体"/>
                <w:b w:val="0"/>
                <w:i w:val="0"/>
                <w:sz w:val="21"/>
              </w:rPr>
              <w:t>0.2</w:t>
            </w:r>
          </w:p>
        </w:tc>
      </w:tr>
      <w:tr>
        <w:tc>
          <w:tcPr>
            <w:tcW w:type="dxa" w:w="2771"/>
          </w:tcPr>
          <w:p>
            <w:pPr>
              <w:jc w:val="left"/>
            </w:pPr>
            <w:r>
              <w:rPr>
                <w:rFonts w:ascii="Times New Roman" w:hAnsi="Times New Roman" w:eastAsia="宋体"/>
                <w:b w:val="0"/>
                <w:i w:val="0"/>
                <w:sz w:val="21"/>
              </w:rPr>
              <w:t>p</w:t>
            </w:r>
          </w:p>
        </w:tc>
        <w:tc>
          <w:tcPr>
            <w:tcW w:type="dxa" w:w="2771"/>
          </w:tcPr>
          <w:p>
            <w:pPr>
              <w:jc w:val="center"/>
            </w:pPr>
            <w:r>
              <w:rPr>
                <w:rFonts w:ascii="Times New Roman" w:hAnsi="Times New Roman" w:eastAsia="宋体"/>
                <w:b w:val="0"/>
                <w:i w:val="0"/>
                <w:sz w:val="21"/>
              </w:rPr>
              <w:t>常规渠道良率成功概率</w:t>
            </w:r>
          </w:p>
        </w:tc>
        <w:tc>
          <w:tcPr>
            <w:tcW w:type="dxa" w:w="2771"/>
          </w:tcPr>
          <w:p>
            <w:pPr>
              <w:jc w:val="center"/>
            </w:pPr>
            <w:r>
              <w:rPr>
                <w:rFonts w:ascii="Times New Roman" w:hAnsi="Times New Roman" w:eastAsia="宋体"/>
                <w:b w:val="0"/>
                <w:i w:val="0"/>
                <w:sz w:val="21"/>
              </w:rPr>
              <w:t>{0.7, 0.9}</w:t>
            </w:r>
          </w:p>
        </w:tc>
      </w:tr>
      <w:tr>
        <w:tc>
          <w:tcPr>
            <w:tcW w:type="dxa" w:w="2771"/>
          </w:tcPr>
          <w:p>
            <w:pPr>
              <w:jc w:val="left"/>
            </w:pPr>
            <w:r>
              <w:rPr>
                <w:rFonts w:ascii="Times New Roman" w:hAnsi="Times New Roman" w:eastAsia="宋体"/>
                <w:b w:val="0"/>
                <w:i w:val="0"/>
                <w:sz w:val="21"/>
              </w:rPr>
              <w:t>y_t</w:t>
            </w:r>
          </w:p>
        </w:tc>
        <w:tc>
          <w:tcPr>
            <w:tcW w:type="dxa" w:w="2771"/>
          </w:tcPr>
          <w:p>
            <w:pPr>
              <w:jc w:val="center"/>
            </w:pPr>
            <w:r>
              <w:rPr>
                <w:rFonts w:ascii="Times New Roman" w:hAnsi="Times New Roman" w:eastAsia="宋体"/>
                <w:b w:val="0"/>
                <w:i w:val="0"/>
                <w:sz w:val="21"/>
              </w:rPr>
              <w:t>第 t 期良率实现，i.i.d. Bernoulli(p)</w:t>
            </w:r>
          </w:p>
        </w:tc>
        <w:tc>
          <w:tcPr>
            <w:tcW w:type="dxa" w:w="2771"/>
          </w:tcPr>
          <w:p>
            <w:pPr>
              <w:jc w:val="center"/>
            </w:pPr>
            <w:r>
              <w:rPr>
                <w:rFonts w:ascii="Times New Roman" w:hAnsi="Times New Roman" w:eastAsia="宋体"/>
                <w:b w:val="0"/>
                <w:i w:val="0"/>
                <w:sz w:val="21"/>
              </w:rPr>
              <w:t>—</w:t>
            </w:r>
          </w:p>
        </w:tc>
      </w:tr>
      <w:tr>
        <w:tc>
          <w:tcPr>
            <w:tcW w:type="dxa" w:w="2771"/>
          </w:tcPr>
          <w:p>
            <w:pPr>
              <w:jc w:val="left"/>
            </w:pPr>
            <w:r>
              <w:rPr>
                <w:rFonts w:ascii="Times New Roman" w:hAnsi="Times New Roman" w:eastAsia="宋体"/>
                <w:b w:val="0"/>
                <w:i w:val="0"/>
                <w:sz w:val="21"/>
              </w:rPr>
              <w:t>c1 / c2</w:t>
            </w:r>
          </w:p>
        </w:tc>
        <w:tc>
          <w:tcPr>
            <w:tcW w:type="dxa" w:w="2771"/>
          </w:tcPr>
          <w:p>
            <w:pPr>
              <w:jc w:val="center"/>
            </w:pPr>
            <w:r>
              <w:rPr>
                <w:rFonts w:ascii="Times New Roman" w:hAnsi="Times New Roman" w:eastAsia="宋体"/>
                <w:b w:val="0"/>
                <w:i w:val="0"/>
                <w:sz w:val="21"/>
              </w:rPr>
              <w:t>常规 / 应急单位采购成本</w:t>
            </w:r>
          </w:p>
        </w:tc>
        <w:tc>
          <w:tcPr>
            <w:tcW w:type="dxa" w:w="2771"/>
          </w:tcPr>
          <w:p>
            <w:pPr>
              <w:jc w:val="center"/>
            </w:pPr>
            <w:r>
              <w:rPr>
                <w:rFonts w:ascii="Times New Roman" w:hAnsi="Times New Roman" w:eastAsia="宋体"/>
                <w:b w:val="0"/>
                <w:i w:val="0"/>
                <w:sz w:val="21"/>
              </w:rPr>
              <w:t>2 / {3, 5}</w:t>
            </w:r>
          </w:p>
        </w:tc>
      </w:tr>
      <w:tr>
        <w:tc>
          <w:tcPr>
            <w:tcW w:type="dxa" w:w="2771"/>
          </w:tcPr>
          <w:p>
            <w:pPr>
              <w:jc w:val="left"/>
            </w:pPr>
            <w:r>
              <w:rPr>
                <w:rFonts w:ascii="Times New Roman" w:hAnsi="Times New Roman" w:eastAsia="宋体"/>
                <w:b w:val="0"/>
                <w:i w:val="0"/>
                <w:sz w:val="21"/>
              </w:rPr>
              <w:t>h</w:t>
            </w:r>
          </w:p>
        </w:tc>
        <w:tc>
          <w:tcPr>
            <w:tcW w:type="dxa" w:w="2771"/>
          </w:tcPr>
          <w:p>
            <w:pPr>
              <w:jc w:val="center"/>
            </w:pPr>
            <w:r>
              <w:rPr>
                <w:rFonts w:ascii="Times New Roman" w:hAnsi="Times New Roman" w:eastAsia="宋体"/>
                <w:b w:val="0"/>
                <w:i w:val="0"/>
                <w:sz w:val="21"/>
              </w:rPr>
              <w:t>单位持有成本</w:t>
            </w:r>
          </w:p>
        </w:tc>
        <w:tc>
          <w:tcPr>
            <w:tcW w:type="dxa" w:w="2771"/>
          </w:tcPr>
          <w:p>
            <w:pPr>
              <w:jc w:val="center"/>
            </w:pPr>
            <w:r>
              <w:rPr>
                <w:rFonts w:ascii="Times New Roman" w:hAnsi="Times New Roman" w:eastAsia="宋体"/>
                <w:b w:val="0"/>
                <w:i w:val="0"/>
                <w:sz w:val="21"/>
              </w:rPr>
              <w:t>1</w:t>
            </w:r>
          </w:p>
        </w:tc>
      </w:tr>
      <w:tr>
        <w:tc>
          <w:tcPr>
            <w:tcW w:type="dxa" w:w="2771"/>
          </w:tcPr>
          <w:p>
            <w:pPr>
              <w:jc w:val="left"/>
            </w:pPr>
            <w:r>
              <w:rPr>
                <w:rFonts w:ascii="Times New Roman" w:hAnsi="Times New Roman" w:eastAsia="宋体"/>
                <w:b w:val="0"/>
                <w:i w:val="0"/>
                <w:sz w:val="21"/>
              </w:rPr>
              <w:t>b</w:t>
            </w:r>
          </w:p>
        </w:tc>
        <w:tc>
          <w:tcPr>
            <w:tcW w:type="dxa" w:w="2771"/>
          </w:tcPr>
          <w:p>
            <w:pPr>
              <w:jc w:val="center"/>
            </w:pPr>
            <w:r>
              <w:rPr>
                <w:rFonts w:ascii="Times New Roman" w:hAnsi="Times New Roman" w:eastAsia="宋体"/>
                <w:b w:val="0"/>
                <w:i w:val="0"/>
                <w:sz w:val="21"/>
              </w:rPr>
              <w:t>单位缺货惩罚成本</w:t>
            </w:r>
          </w:p>
        </w:tc>
        <w:tc>
          <w:tcPr>
            <w:tcW w:type="dxa" w:w="2771"/>
          </w:tcPr>
          <w:p>
            <w:pPr>
              <w:jc w:val="center"/>
            </w:pPr>
            <w:r>
              <w:rPr>
                <w:rFonts w:ascii="Times New Roman" w:hAnsi="Times New Roman" w:eastAsia="宋体"/>
                <w:b w:val="0"/>
                <w:i w:val="0"/>
                <w:sz w:val="21"/>
              </w:rPr>
              <w:t>由 b/h∈{0.85,0.95} 换算：{5.6667, 19}</w:t>
            </w:r>
          </w:p>
        </w:tc>
      </w:tr>
      <w:tr>
        <w:tc>
          <w:tcPr>
            <w:tcW w:type="dxa" w:w="2771"/>
          </w:tcPr>
          <w:p>
            <w:pPr>
              <w:jc w:val="left"/>
            </w:pPr>
            <w:r>
              <w:rPr>
                <w:rFonts w:ascii="Times New Roman" w:hAnsi="Times New Roman" w:eastAsia="宋体"/>
                <w:b w:val="0"/>
                <w:i w:val="0"/>
                <w:sz w:val="21"/>
              </w:rPr>
              <w:t>I_t</w:t>
            </w:r>
          </w:p>
        </w:tc>
        <w:tc>
          <w:tcPr>
            <w:tcW w:type="dxa" w:w="2771"/>
          </w:tcPr>
          <w:p>
            <w:pPr>
              <w:jc w:val="center"/>
            </w:pPr>
            <w:r>
              <w:rPr>
                <w:rFonts w:ascii="Times New Roman" w:hAnsi="Times New Roman" w:eastAsia="宋体"/>
                <w:b w:val="0"/>
                <w:i w:val="0"/>
                <w:sz w:val="21"/>
              </w:rPr>
              <w:t>库存水平（初始为 0）</w:t>
            </w:r>
          </w:p>
        </w:tc>
        <w:tc>
          <w:tcPr>
            <w:tcW w:type="dxa" w:w="2771"/>
          </w:tcPr>
          <w:p>
            <w:pPr>
              <w:jc w:val="center"/>
            </w:pPr>
            <w:r>
              <w:rPr>
                <w:rFonts w:ascii="Times New Roman" w:hAnsi="Times New Roman" w:eastAsia="宋体"/>
                <w:b w:val="0"/>
                <w:i w:val="0"/>
                <w:sz w:val="21"/>
              </w:rPr>
              <w:t>—</w:t>
            </w:r>
          </w:p>
        </w:tc>
      </w:tr>
      <w:tr>
        <w:tc>
          <w:tcPr>
            <w:tcW w:type="dxa" w:w="2771"/>
          </w:tcPr>
          <w:p>
            <w:pPr>
              <w:jc w:val="left"/>
            </w:pPr>
            <w:r>
              <w:rPr>
                <w:rFonts w:ascii="Times New Roman" w:hAnsi="Times New Roman" w:eastAsia="宋体"/>
                <w:b w:val="0"/>
                <w:i w:val="0"/>
                <w:sz w:val="21"/>
              </w:rPr>
              <w:t>SL(·) / S0(·)</w:t>
            </w:r>
          </w:p>
        </w:tc>
        <w:tc>
          <w:tcPr>
            <w:tcW w:type="dxa" w:w="2771"/>
          </w:tcPr>
          <w:p>
            <w:pPr>
              <w:jc w:val="center"/>
            </w:pPr>
            <w:r>
              <w:rPr>
                <w:rFonts w:ascii="Times New Roman" w:hAnsi="Times New Roman" w:eastAsia="宋体"/>
                <w:b w:val="0"/>
                <w:i w:val="0"/>
                <w:sz w:val="21"/>
              </w:rPr>
              <w:t>动态目标库存 / 应急安全水位，式(3-6)、式(3-7)</w:t>
            </w:r>
          </w:p>
        </w:tc>
        <w:tc>
          <w:tcPr>
            <w:tcW w:type="dxa" w:w="2771"/>
          </w:tcPr>
          <w:p>
            <w:pPr>
              <w:jc w:val="center"/>
            </w:pPr>
            <w:r>
              <w:rPr>
                <w:rFonts w:ascii="Times New Roman" w:hAnsi="Times New Roman" w:eastAsia="宋体"/>
                <w:b w:val="0"/>
                <w:i w:val="0"/>
                <w:sz w:val="21"/>
              </w:rPr>
              <w:t>—</w:t>
            </w:r>
          </w:p>
        </w:tc>
      </w:tr>
    </w:tbl>
    <w:p>
      <w:pPr>
        <w:spacing w:after="0"/>
      </w:pPr>
    </w:p>
    <w:p>
      <w:pPr>
        <w:spacing w:line="288" w:lineRule="auto" w:before="80" w:after="120"/>
        <w:jc w:val="center"/>
      </w:pPr>
      <w:r>
        <w:rPr>
          <w:rFonts w:ascii="Times New Roman" w:hAnsi="Times New Roman" w:eastAsia="宋体"/>
          <w:b/>
          <w:i w:val="0"/>
          <w:sz w:val="21"/>
        </w:rPr>
        <w:t>表3-1 符号定义与实验取值</w:t>
      </w:r>
    </w:p>
    <w:p>
      <w:pPr>
        <w:spacing w:line="360" w:lineRule="auto" w:after="120"/>
        <w:ind w:firstLine="480"/>
      </w:pPr>
      <w:r>
        <w:rPr>
          <w:rFonts w:ascii="Times New Roman" w:hAnsi="Times New Roman" w:eastAsia="宋体"/>
          <w:b w:val="0"/>
          <w:i w:val="0"/>
          <w:sz w:val="24"/>
        </w:rPr>
        <w:t>经济约束 c1 &lt; c2 &lt; b：保证常规渠道的主采购地位与应急渠道的经济合理性；若 c2 ≥ b，应急补货的单位收益不足以覆盖成本，此时代码将 S0(t) 置零、应急渠道永不触发。其余假设与原论文一致：初始库存为零、规划期前 L 期无在途订单到货（原文 5.1 节公平条款）。</w:t>
      </w:r>
    </w:p>
    <w:p>
      <w:pPr>
        <w:pStyle w:val="Heading2"/>
      </w:pPr>
      <w:r>
        <w:t>3.2 时间设定与回合结构</w:t>
      </w:r>
    </w:p>
    <w:p>
      <w:pPr>
        <w:spacing w:line="360" w:lineRule="auto" w:after="120"/>
        <w:ind w:firstLine="480"/>
      </w:pPr>
      <w:r>
        <w:rPr>
          <w:rFonts w:ascii="Times New Roman" w:hAnsi="Times New Roman" w:eastAsia="宋体"/>
          <w:b w:val="0"/>
          <w:i w:val="0"/>
          <w:sz w:val="24"/>
        </w:rPr>
        <w:t>每个时间步对应一个盘点周期，决策在每期期初执行；回合长度即规划期 T，t=0,1,…,T−1，t 达到 T 时回合终止。这是一个明确的有限期 MDP：不存在回合无限延续的情形，期末效应（end-of-horizon effect）因此成为策略必须处理的结构性特征。</w:t>
      </w:r>
    </w:p>
    <w:p>
      <w:pPr>
        <w:spacing w:line="360" w:lineRule="auto" w:after="40"/>
      </w:pPr>
      <w:r>
        <w:rPr>
          <w:rFonts w:ascii="Times New Roman" w:hAnsi="Times New Roman" w:eastAsia="宋体"/>
          <w:b/>
          <w:i w:val="0"/>
          <w:sz w:val="24"/>
        </w:rPr>
        <w:t>注记3.1（周期计数约定与原文的等价性）。</w:t>
      </w:r>
    </w:p>
    <w:p>
      <w:pPr>
        <w:spacing w:line="360" w:lineRule="auto" w:after="160"/>
        <w:ind w:firstLine="480"/>
      </w:pPr>
      <w:r>
        <w:rPr>
          <w:rFonts w:ascii="Times New Roman" w:hAnsi="Times New Roman" w:eastAsia="宋体"/>
          <w:b w:val="0"/>
          <w:i w:val="0"/>
          <w:sz w:val="24"/>
        </w:rPr>
        <w:t>原论文计数 t=1..T 并以 α^(t−1) 折现；本文代码计数 t=0..T−1 并以 α^t 折现。二者逐期事件顺序与折现权重完全一致（同一期的成本获得同一权重），仅索引起点约定不同。本文所有公式均按代码约定书写。</w:t>
      </w:r>
    </w:p>
    <w:p>
      <w:pPr>
        <w:pStyle w:val="Heading2"/>
      </w:pPr>
      <w:r>
        <w:t>3.3 时变需求与随机良率过程</w:t>
      </w:r>
    </w:p>
    <w:p>
      <w:pPr>
        <w:spacing w:line="360" w:lineRule="auto" w:after="120"/>
      </w:pPr>
      <w:r>
        <w:rPr>
          <w:rFonts w:ascii="Times New Roman" w:hAnsi="Times New Roman" w:eastAsia="宋体"/>
          <w:b w:val="0"/>
          <w:i w:val="0"/>
          <w:sz w:val="24"/>
        </w:rPr>
        <w:t>需求具有季节性非平稳性，均值与标准差随时间正弦变化：</w:t>
      </w:r>
    </w:p>
    <w:p>
      <w:pPr>
        <w:tabs>
          <w:tab w:pos="4156" w:val="center"/>
          <w:tab w:pos="8311" w:val="right"/>
        </w:tabs>
        <w:spacing w:line="360" w:lineRule="auto" w:before="60" w:after="60"/>
      </w:pPr>
      <w:r>
        <w:rPr>
          <w:rFonts w:ascii="Times New Roman" w:hAnsi="Times New Roman" w:eastAsia="宋体"/>
          <w:b w:val="0"/>
          <w:i w:val="0"/>
          <w:sz w:val="24"/>
        </w:rPr>
        <w:tab/>
      </w:r>
      <m:oMath>
        <m:r>
          <m:t>μ(t)=</m:t>
        </m:r>
        <m:sSub>
          <m:e>
            <m:r>
              <m:t>μ</m:t>
            </m:r>
          </m:e>
          <m:sub>
            <m:r>
              <m:t>base</m:t>
            </m:r>
          </m:sub>
        </m:sSub>
        <m:r>
          <m:t>+A</m:t>
        </m:r>
        <m:r>
          <m:rPr>
            <m:sty m:val="p"/>
          </m:rPr>
          <m:t>sin</m:t>
        </m:r>
        <m:d>
          <m:dPr>
            <m:sepChr m:val=""/>
          </m:dPr>
          <m:e>
            <m:f>
              <m:fPr>
                <m:type m:val="bar"/>
              </m:fPr>
              <m:num>
                <m:r>
                  <m:t>2πt</m:t>
                </m:r>
              </m:num>
              <m:den>
                <m:r>
                  <m:t>τ</m:t>
                </m:r>
              </m:den>
            </m:f>
          </m:e>
        </m:d>
        <m:r>
          <m:t>,</m:t>
        </m:r>
        <m:r>
          <m:rPr>
            <m:sty m:val="p"/>
          </m:rPr>
          <m:t>  </m:t>
        </m:r>
        <m:r>
          <m:t>σ(t)=cv·μ(t)</m:t>
        </m:r>
      </m:oMath>
      <w:r>
        <w:rPr>
          <w:rFonts w:ascii="Times New Roman" w:hAnsi="Times New Roman" w:eastAsia="宋体"/>
          <w:b w:val="0"/>
          <w:i w:val="0"/>
          <w:sz w:val="24"/>
        </w:rPr>
        <w:tab/>
      </w:r>
      <w:r>
        <w:rPr>
          <w:rFonts w:ascii="Times New Roman" w:hAnsi="Times New Roman" w:eastAsia="宋体"/>
          <w:b w:val="0"/>
          <w:i w:val="0"/>
          <w:sz w:val="24"/>
        </w:rPr>
        <w:t>(3-1)</w:t>
      </w:r>
    </w:p>
    <w:p>
      <w:pPr>
        <w:spacing w:line="360" w:lineRule="auto" w:after="120"/>
      </w:pPr>
      <w:r>
        <w:rPr>
          <w:rFonts w:ascii="Times New Roman" w:hAnsi="Times New Roman" w:eastAsia="宋体"/>
          <w:b w:val="0"/>
          <w:i w:val="0"/>
          <w:sz w:val="24"/>
        </w:rPr>
        <w:t>第 t 期需求 D_t 服从截断于零的正态分布（负采样截断为零，np.where(D≥0)，与原文 5.3 节对 Gamma 需求的截断处理一致）：</w:t>
      </w:r>
    </w:p>
    <w:p>
      <w:pPr>
        <w:tabs>
          <w:tab w:pos="4156" w:val="center"/>
          <w:tab w:pos="8311" w:val="right"/>
        </w:tabs>
        <w:spacing w:line="360" w:lineRule="auto" w:before="60" w:after="60"/>
      </w:pPr>
      <w:r>
        <w:rPr>
          <w:rFonts w:ascii="Times New Roman" w:hAnsi="Times New Roman" w:eastAsia="宋体"/>
          <w:b w:val="0"/>
          <w:i w:val="0"/>
          <w:sz w:val="24"/>
        </w:rPr>
        <w:tab/>
      </w:r>
      <m:oMath>
        <m:sSub>
          <m:e>
            <m:r>
              <m:t>D</m:t>
            </m:r>
          </m:e>
          <m:sub>
            <m:r>
              <m:t>t</m:t>
            </m:r>
          </m:sub>
        </m:sSub>
        <m:r>
          <m:t>=max{</m:t>
        </m:r>
        <m:sSub>
          <m:e>
            <m:r>
              <m:t>ξ</m:t>
            </m:r>
          </m:e>
          <m:sub>
            <m:r>
              <m:t>t</m:t>
            </m:r>
          </m:sub>
        </m:sSub>
        <m:r>
          <m:t>,0},</m:t>
        </m:r>
        <m:r>
          <m:rPr>
            <m:sty m:val="p"/>
          </m:rPr>
          <m:t>  </m:t>
        </m:r>
        <m:sSub>
          <m:e>
            <m:r>
              <m:t>ξ</m:t>
            </m:r>
          </m:e>
          <m:sub>
            <m:r>
              <m:t>t</m:t>
            </m:r>
          </m:sub>
        </m:sSub>
        <m:r>
          <m:t>~N</m:t>
        </m:r>
        <m:d>
          <m:dPr>
            <m:sepChr m:val=""/>
          </m:dPr>
          <m:e>
            <m:r>
              <m:t>μ</m:t>
            </m:r>
            <m:r>
              <m:t>(</m:t>
            </m:r>
            <m:r>
              <m:t>t</m:t>
            </m:r>
            <m:r>
              <m:t>)</m:t>
            </m:r>
            <m:r>
              <m:t>,</m:t>
            </m:r>
            <m:sSup>
              <m:e>
                <m:r>
                  <m:t>σ</m:t>
                </m:r>
              </m:e>
              <m:sup>
                <m:r>
                  <m:t>2</m:t>
                </m:r>
              </m:sup>
            </m:sSup>
            <m:r>
              <m:t>(</m:t>
            </m:r>
            <m:r>
              <m:t>t</m:t>
            </m:r>
            <m:r>
              <m:t>)</m:t>
            </m:r>
          </m:e>
        </m:d>
      </m:oMath>
      <w:r>
        <w:rPr>
          <w:rFonts w:ascii="Times New Roman" w:hAnsi="Times New Roman" w:eastAsia="宋体"/>
          <w:b w:val="0"/>
          <w:i w:val="0"/>
          <w:sz w:val="24"/>
        </w:rPr>
        <w:tab/>
      </w:r>
      <w:r>
        <w:rPr>
          <w:rFonts w:ascii="Times New Roman" w:hAnsi="Times New Roman" w:eastAsia="宋体"/>
          <w:b w:val="0"/>
          <w:i w:val="0"/>
          <w:sz w:val="24"/>
        </w:rPr>
        <w:t>(3-2)</w:t>
      </w:r>
    </w:p>
    <w:p>
      <w:pPr>
        <w:spacing w:line="360" w:lineRule="auto" w:after="120"/>
        <w:ind w:firstLine="480"/>
      </w:pPr>
      <w:r>
        <w:rPr>
          <w:rFonts w:ascii="Times New Roman" w:hAnsi="Times New Roman" w:eastAsia="宋体"/>
          <w:b w:val="0"/>
          <w:i w:val="0"/>
          <w:sz w:val="24"/>
        </w:rPr>
        <w:t>常规渠道良率 y_t i.i.d. 服从 Bernoulli(p)：订单量 q 成功则整批 q 入库，否则为零。应急渠道零提前期、良率恒为一、无随机扰动。需求序列与良率序列相互独立，且在训练与评估中均由成对种子预生成：seed1 控制需求、seed2 控制良率——这是对原文“每条测试轨迹使用不同随机种子且不重复”（原文 5.1 节）协议的强化：不仅跨策略共享同一种子场景，还把良率场景一并锁死。</w:t>
      </w:r>
    </w:p>
    <w:p>
      <w:pPr>
        <w:pStyle w:val="Heading2"/>
      </w:pPr>
      <w:r>
        <w:t>3.4 时间感知状态空间</w:t>
      </w:r>
    </w:p>
    <w:p>
      <w:pPr>
        <w:spacing w:line="360" w:lineRule="auto" w:after="120"/>
      </w:pPr>
      <w:r>
        <w:rPr>
          <w:rFonts w:ascii="Times New Roman" w:hAnsi="Times New Roman" w:eastAsia="宋体"/>
          <w:b w:val="0"/>
          <w:i w:val="0"/>
          <w:sz w:val="24"/>
        </w:rPr>
        <w:t>扩展后的状态向量为：</w:t>
      </w:r>
    </w:p>
    <w:p>
      <w:pPr>
        <w:tabs>
          <w:tab w:pos="4156" w:val="center"/>
          <w:tab w:pos="8311" w:val="right"/>
        </w:tabs>
        <w:spacing w:line="360" w:lineRule="auto" w:before="60" w:after="60"/>
      </w:pPr>
      <w:r>
        <w:rPr>
          <w:rFonts w:ascii="Times New Roman" w:hAnsi="Times New Roman" w:eastAsia="宋体"/>
          <w:b w:val="0"/>
          <w:i w:val="0"/>
          <w:sz w:val="24"/>
        </w:rPr>
        <w:tab/>
      </w:r>
      <m:oMath>
        <m:sSub>
          <m:e>
            <m:r>
              <m:t>s</m:t>
            </m:r>
          </m:e>
          <m:sub>
            <m:r>
              <m:t>t</m:t>
            </m:r>
          </m:sub>
        </m:sSub>
        <m:r>
          <m:t>=</m:t>
        </m:r>
        <m:d>
          <m:dPr>
            <m:begChr m:val="["/>
            <m:sepChr m:val=""/>
            <m:endChr m:val="]"/>
          </m:dPr>
          <m:e>
            <m:r>
              <m:t>S</m:t>
            </m:r>
            <m:r>
              <m:t>L</m:t>
            </m:r>
            <m:r>
              <m:t>(</m:t>
            </m:r>
            <m:r>
              <m:t>t</m:t>
            </m:r>
            <m:r>
              <m:t>+</m:t>
            </m:r>
            <m:r>
              <m:t>L</m:t>
            </m:r>
            <m:r>
              <m:t>)</m:t>
            </m:r>
            <m:r>
              <m:t>,</m:t>
            </m:r>
            <m:r>
              <m:rPr>
                <m:sty m:val="p"/>
              </m:rPr>
              <m:t> </m:t>
            </m:r>
            <m:sSub>
              <m:e>
                <m:r>
                  <m:t>I</m:t>
                </m:r>
              </m:e>
              <m:sub>
                <m:r>
                  <m:t>t</m:t>
                </m:r>
              </m:sub>
            </m:sSub>
            <m:r>
              <m:t>,</m:t>
            </m:r>
            <m:r>
              <m:rPr>
                <m:sty m:val="p"/>
              </m:rPr>
              <m:t> </m:t>
            </m:r>
            <m:sSub>
              <m:e>
                <m:r>
                  <m:t>q</m:t>
                </m:r>
              </m:e>
              <m:sub>
                <m:r>
                  <m:t>t−L+1</m:t>
                </m:r>
              </m:sub>
            </m:sSub>
            <m:r>
              <m:t>,</m:t>
            </m:r>
            <m:r>
              <m:t>…</m:t>
            </m:r>
            <m:r>
              <m:t>,</m:t>
            </m:r>
            <m:sSub>
              <m:e>
                <m:r>
                  <m:t>q</m:t>
                </m:r>
              </m:e>
              <m:sub>
                <m:r>
                  <m:t>t−1</m:t>
                </m:r>
              </m:sub>
            </m:sSub>
            <m:r>
              <m:t>,</m:t>
            </m:r>
            <m:r>
              <m:rPr>
                <m:sty m:val="p"/>
              </m:rPr>
              <m:t> </m:t>
            </m:r>
            <m:r>
              <m:rPr>
                <m:sty m:val="p"/>
              </m:rPr>
              <m:t>sin</m:t>
            </m:r>
            <m:f>
              <m:fPr>
                <m:type m:val="bar"/>
              </m:fPr>
              <m:num>
                <m:r>
                  <m:t>2πt</m:t>
                </m:r>
              </m:num>
              <m:den>
                <m:r>
                  <m:t>τ</m:t>
                </m:r>
              </m:den>
            </m:f>
            <m:r>
              <m:t>,</m:t>
            </m:r>
            <m:r>
              <m:rPr>
                <m:sty m:val="p"/>
              </m:rPr>
              <m:t> </m:t>
            </m:r>
            <m:r>
              <m:rPr>
                <m:sty m:val="p"/>
              </m:rPr>
              <m:t>cos</m:t>
            </m:r>
            <m:f>
              <m:fPr>
                <m:type m:val="bar"/>
              </m:fPr>
              <m:num>
                <m:r>
                  <m:t>2πt</m:t>
                </m:r>
              </m:num>
              <m:den>
                <m:r>
                  <m:t>τ</m:t>
                </m:r>
              </m:den>
            </m:f>
            <m:r>
              <m:t>,</m:t>
            </m:r>
            <m:r>
              <m:rPr>
                <m:sty m:val="p"/>
              </m:rPr>
              <m:t> </m:t>
            </m:r>
            <m:f>
              <m:fPr>
                <m:type m:val="bar"/>
              </m:fPr>
              <m:num>
                <m:r>
                  <m:t>t</m:t>
                </m:r>
              </m:num>
              <m:den>
                <m:r>
                  <m:t>T</m:t>
                </m:r>
              </m:den>
            </m:f>
          </m:e>
        </m:d>
      </m:oMath>
      <w:r>
        <w:rPr>
          <w:rFonts w:ascii="Times New Roman" w:hAnsi="Times New Roman" w:eastAsia="宋体"/>
          <w:b w:val="0"/>
          <w:i w:val="0"/>
          <w:sz w:val="24"/>
        </w:rPr>
        <w:tab/>
      </w:r>
      <w:r>
        <w:rPr>
          <w:rFonts w:ascii="Times New Roman" w:hAnsi="Times New Roman" w:eastAsia="宋体"/>
          <w:b w:val="0"/>
          <w:i w:val="0"/>
          <w:sz w:val="24"/>
        </w:rPr>
        <w:t>(3-3)</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fill="D9D9D9"/>
          </w:tcPr>
          <w:p>
            <w:pPr>
              <w:jc w:val="center"/>
            </w:pPr>
            <w:r>
              <w:rPr>
                <w:rFonts w:ascii="Times New Roman" w:hAnsi="Times New Roman" w:eastAsia="宋体"/>
                <w:b/>
                <w:i w:val="0"/>
                <w:sz w:val="21"/>
              </w:rPr>
              <w:t>分量</w:t>
            </w:r>
          </w:p>
        </w:tc>
        <w:tc>
          <w:tcPr>
            <w:tcW w:type="dxa" w:w="2771"/>
            <w:shd w:val="clear" w:fill="D9D9D9"/>
          </w:tcPr>
          <w:p>
            <w:pPr>
              <w:jc w:val="center"/>
            </w:pPr>
            <w:r>
              <w:rPr>
                <w:rFonts w:ascii="Times New Roman" w:hAnsi="Times New Roman" w:eastAsia="宋体"/>
                <w:b/>
                <w:i w:val="0"/>
                <w:sz w:val="21"/>
              </w:rPr>
              <w:t>维度</w:t>
            </w:r>
          </w:p>
        </w:tc>
        <w:tc>
          <w:tcPr>
            <w:tcW w:type="dxa" w:w="2771"/>
            <w:shd w:val="clear" w:fill="D9D9D9"/>
          </w:tcPr>
          <w:p>
            <w:pPr>
              <w:jc w:val="center"/>
            </w:pPr>
            <w:r>
              <w:rPr>
                <w:rFonts w:ascii="Times New Roman" w:hAnsi="Times New Roman" w:eastAsia="宋体"/>
                <w:b/>
                <w:i w:val="0"/>
                <w:sz w:val="21"/>
              </w:rPr>
              <w:t>含义</w:t>
            </w:r>
          </w:p>
        </w:tc>
      </w:tr>
      <w:tr>
        <w:tc>
          <w:tcPr>
            <w:tcW w:type="dxa" w:w="2771"/>
          </w:tcPr>
          <w:p>
            <w:pPr>
              <w:jc w:val="left"/>
            </w:pPr>
            <w:r>
              <w:rPr>
                <w:rFonts w:ascii="Times New Roman" w:hAnsi="Times New Roman" w:eastAsia="宋体"/>
                <w:b w:val="0"/>
                <w:i w:val="0"/>
                <w:sz w:val="21"/>
              </w:rPr>
              <w:t>SL(t+L)</w:t>
            </w:r>
          </w:p>
        </w:tc>
        <w:tc>
          <w:tcPr>
            <w:tcW w:type="dxa" w:w="2771"/>
          </w:tcPr>
          <w:p>
            <w:pPr>
              <w:jc w:val="center"/>
            </w:pPr>
            <w:r>
              <w:rPr>
                <w:rFonts w:ascii="Times New Roman" w:hAnsi="Times New Roman" w:eastAsia="宋体"/>
                <w:b w:val="0"/>
                <w:i w:val="0"/>
                <w:sz w:val="21"/>
              </w:rPr>
              <w:t>1</w:t>
            </w:r>
          </w:p>
        </w:tc>
        <w:tc>
          <w:tcPr>
            <w:tcW w:type="dxa" w:w="2771"/>
          </w:tcPr>
          <w:p>
            <w:pPr>
              <w:jc w:val="center"/>
            </w:pPr>
            <w:r>
              <w:rPr>
                <w:rFonts w:ascii="Times New Roman" w:hAnsi="Times New Roman" w:eastAsia="宋体"/>
                <w:b w:val="0"/>
                <w:i w:val="0"/>
                <w:sz w:val="21"/>
              </w:rPr>
              <w:t>动态目标库存：按订单到达期 u=t+L 的需求参数计算（式(3-6)），作为路径缺口基准</w:t>
            </w:r>
          </w:p>
        </w:tc>
      </w:tr>
      <w:tr>
        <w:tc>
          <w:tcPr>
            <w:tcW w:type="dxa" w:w="2771"/>
          </w:tcPr>
          <w:p>
            <w:pPr>
              <w:jc w:val="left"/>
            </w:pPr>
            <w:r>
              <w:rPr>
                <w:rFonts w:ascii="Times New Roman" w:hAnsi="Times New Roman" w:eastAsia="宋体"/>
                <w:b w:val="0"/>
                <w:i w:val="0"/>
                <w:sz w:val="21"/>
              </w:rPr>
              <w:t>I_t</w:t>
            </w:r>
          </w:p>
        </w:tc>
        <w:tc>
          <w:tcPr>
            <w:tcW w:type="dxa" w:w="2771"/>
          </w:tcPr>
          <w:p>
            <w:pPr>
              <w:jc w:val="center"/>
            </w:pPr>
            <w:r>
              <w:rPr>
                <w:rFonts w:ascii="Times New Roman" w:hAnsi="Times New Roman" w:eastAsia="宋体"/>
                <w:b w:val="0"/>
                <w:i w:val="0"/>
                <w:sz w:val="21"/>
              </w:rPr>
              <w:t>1</w:t>
            </w:r>
          </w:p>
        </w:tc>
        <w:tc>
          <w:tcPr>
            <w:tcW w:type="dxa" w:w="2771"/>
          </w:tcPr>
          <w:p>
            <w:pPr>
              <w:jc w:val="center"/>
            </w:pPr>
            <w:r>
              <w:rPr>
                <w:rFonts w:ascii="Times New Roman" w:hAnsi="Times New Roman" w:eastAsia="宋体"/>
                <w:b w:val="0"/>
                <w:i w:val="0"/>
                <w:sz w:val="21"/>
              </w:rPr>
              <w:t>当前可用库存：本期常规到货之后、应急决策之前的水平</w:t>
            </w:r>
          </w:p>
        </w:tc>
      </w:tr>
      <w:tr>
        <w:tc>
          <w:tcPr>
            <w:tcW w:type="dxa" w:w="2771"/>
          </w:tcPr>
          <w:p>
            <w:pPr>
              <w:jc w:val="left"/>
            </w:pPr>
            <w:r>
              <w:rPr>
                <w:rFonts w:ascii="Times New Roman" w:hAnsi="Times New Roman" w:eastAsia="宋体"/>
                <w:b w:val="0"/>
                <w:i w:val="0"/>
                <w:sz w:val="21"/>
              </w:rPr>
              <w:t>q_(t−L+1..t−1)</w:t>
            </w:r>
          </w:p>
        </w:tc>
        <w:tc>
          <w:tcPr>
            <w:tcW w:type="dxa" w:w="2771"/>
          </w:tcPr>
          <w:p>
            <w:pPr>
              <w:jc w:val="center"/>
            </w:pPr>
            <w:r>
              <w:rPr>
                <w:rFonts w:ascii="Times New Roman" w:hAnsi="Times New Roman" w:eastAsia="宋体"/>
                <w:b w:val="0"/>
                <w:i w:val="0"/>
                <w:sz w:val="21"/>
              </w:rPr>
              <w:t>L−1</w:t>
            </w:r>
          </w:p>
        </w:tc>
        <w:tc>
          <w:tcPr>
            <w:tcW w:type="dxa" w:w="2771"/>
          </w:tcPr>
          <w:p>
            <w:pPr>
              <w:jc w:val="center"/>
            </w:pPr>
            <w:r>
              <w:rPr>
                <w:rFonts w:ascii="Times New Roman" w:hAnsi="Times New Roman" w:eastAsia="宋体"/>
                <w:b w:val="0"/>
                <w:i w:val="0"/>
                <w:sz w:val="21"/>
              </w:rPr>
              <w:t>管道订单队列：已下达但尚未到货的 L−1 笔常规订单</w:t>
            </w:r>
          </w:p>
        </w:tc>
      </w:tr>
      <w:tr>
        <w:tc>
          <w:tcPr>
            <w:tcW w:type="dxa" w:w="2771"/>
          </w:tcPr>
          <w:p>
            <w:pPr>
              <w:jc w:val="left"/>
            </w:pPr>
            <w:r>
              <w:rPr>
                <w:rFonts w:ascii="Times New Roman" w:hAnsi="Times New Roman" w:eastAsia="宋体"/>
                <w:b w:val="0"/>
                <w:i w:val="0"/>
                <w:sz w:val="21"/>
              </w:rPr>
              <w:t>sin(2πt/τ), cos(2πt/τ)</w:t>
            </w:r>
          </w:p>
        </w:tc>
        <w:tc>
          <w:tcPr>
            <w:tcW w:type="dxa" w:w="2771"/>
          </w:tcPr>
          <w:p>
            <w:pPr>
              <w:jc w:val="center"/>
            </w:pPr>
            <w:r>
              <w:rPr>
                <w:rFonts w:ascii="Times New Roman" w:hAnsi="Times New Roman" w:eastAsia="宋体"/>
                <w:b w:val="0"/>
                <w:i w:val="0"/>
                <w:sz w:val="21"/>
              </w:rPr>
              <w:t>2</w:t>
            </w:r>
          </w:p>
        </w:tc>
        <w:tc>
          <w:tcPr>
            <w:tcW w:type="dxa" w:w="2771"/>
          </w:tcPr>
          <w:p>
            <w:pPr>
              <w:jc w:val="center"/>
            </w:pPr>
            <w:r>
              <w:rPr>
                <w:rFonts w:ascii="Times New Roman" w:hAnsi="Times New Roman" w:eastAsia="宋体"/>
                <w:b w:val="0"/>
                <w:i w:val="0"/>
                <w:sz w:val="21"/>
              </w:rPr>
              <w:t>周期相位编码：平滑连续、首尾连续、二维唯一确定相位</w:t>
            </w:r>
          </w:p>
        </w:tc>
      </w:tr>
      <w:tr>
        <w:tc>
          <w:tcPr>
            <w:tcW w:type="dxa" w:w="2771"/>
          </w:tcPr>
          <w:p>
            <w:pPr>
              <w:jc w:val="left"/>
            </w:pPr>
            <w:r>
              <w:rPr>
                <w:rFonts w:ascii="Times New Roman" w:hAnsi="Times New Roman" w:eastAsia="宋体"/>
                <w:b w:val="0"/>
                <w:i w:val="0"/>
                <w:sz w:val="21"/>
              </w:rPr>
              <w:t>t/T</w:t>
            </w:r>
          </w:p>
        </w:tc>
        <w:tc>
          <w:tcPr>
            <w:tcW w:type="dxa" w:w="2771"/>
          </w:tcPr>
          <w:p>
            <w:pPr>
              <w:jc w:val="center"/>
            </w:pPr>
            <w:r>
              <w:rPr>
                <w:rFonts w:ascii="Times New Roman" w:hAnsi="Times New Roman" w:eastAsia="宋体"/>
                <w:b w:val="0"/>
                <w:i w:val="0"/>
                <w:sz w:val="21"/>
              </w:rPr>
              <w:t>1</w:t>
            </w:r>
          </w:p>
        </w:tc>
        <w:tc>
          <w:tcPr>
            <w:tcW w:type="dxa" w:w="2771"/>
          </w:tcPr>
          <w:p>
            <w:pPr>
              <w:jc w:val="center"/>
            </w:pPr>
            <w:r>
              <w:rPr>
                <w:rFonts w:ascii="Times New Roman" w:hAnsi="Times New Roman" w:eastAsia="宋体"/>
                <w:b w:val="0"/>
                <w:i w:val="0"/>
                <w:sz w:val="21"/>
              </w:rPr>
              <w:t>归一化时间：规划期相对位置，期末收尾信号</w:t>
            </w:r>
          </w:p>
        </w:tc>
      </w:tr>
    </w:tbl>
    <w:p>
      <w:pPr>
        <w:spacing w:after="0"/>
      </w:pPr>
    </w:p>
    <w:p>
      <w:pPr>
        <w:spacing w:line="288" w:lineRule="auto" w:before="80" w:after="120"/>
        <w:jc w:val="center"/>
      </w:pPr>
      <w:r>
        <w:rPr>
          <w:rFonts w:ascii="Times New Roman" w:hAnsi="Times New Roman" w:eastAsia="宋体"/>
          <w:b/>
          <w:i w:val="0"/>
          <w:sz w:val="21"/>
        </w:rPr>
        <w:t>表3-2 状态分量（总维度 L+4，L=2 时为 6 维）</w:t>
      </w:r>
    </w:p>
    <w:p>
      <w:pPr>
        <w:spacing w:line="360" w:lineRule="auto" w:after="120"/>
        <w:ind w:firstLine="480"/>
      </w:pPr>
      <w:r>
        <w:rPr>
          <w:rFonts w:ascii="Times New Roman" w:hAnsi="Times New Roman" w:eastAsia="宋体"/>
          <w:b w:val="0"/>
          <w:i w:val="0"/>
          <w:sz w:val="24"/>
        </w:rPr>
        <w:t>马尔可夫性论证：在季节性需求下，仅由库存与管道构成的原始状态不满足马尔可夫性——相同的 (I_t, Q_t) 在旺季与淡季对应不同的未来需求分布，因而最优动作不同，即状态混淆（state aliasing）。将导致非平稳的因素显式加入状态后，给定扩充状态，未来需求与良率的分布与历史无关，过程重新满足马尔可夫性。该做法与 Pardo 等（2018）“剩余时间入输入”、Bertsekas（2019）“有限视野最优策略非平稳、须做状态扩充”、Dehaybe 等（2023）“未来需求参数入状态”的思想一致【引文待补充】；与原论文附录C的区别在于：其平稳设定下时间输入不含信息故无增益，而本文的时间编码承载真实的分布信息。</w:t>
      </w:r>
    </w:p>
    <w:p>
      <w:pPr>
        <w:spacing w:line="360" w:lineRule="auto" w:after="40"/>
      </w:pPr>
      <w:r>
        <w:rPr>
          <w:rFonts w:ascii="Times New Roman" w:hAnsi="Times New Roman" w:eastAsia="宋体"/>
          <w:b/>
          <w:i w:val="0"/>
          <w:sz w:val="24"/>
        </w:rPr>
        <w:t>注记3.2（策略网络为何不直接接收 SL 分量）。</w:t>
      </w:r>
    </w:p>
    <w:p>
      <w:pPr>
        <w:spacing w:line="360" w:lineRule="auto" w:after="160"/>
        <w:ind w:firstLine="480"/>
      </w:pPr>
      <w:r>
        <w:rPr>
          <w:rFonts w:ascii="Times New Roman" w:hAnsi="Times New Roman" w:eastAsia="宋体"/>
          <w:b w:val="0"/>
          <w:i w:val="0"/>
          <w:sz w:val="24"/>
        </w:rPr>
        <w:t>原论文将 s_t=(S_L,I_t,Q_t) 整体输入网络（输入层 L+1 节点，原文表A.1）；本文网络输入为 s_t 去除 SL 后的 L+3 维向量 [I_t, q_(·), sin, cos, t/T]，SL 仅在线性路径缺口结构中使用（4.2节式(4-5)）。理由有三：（i）SL 是时间特征与系统参数的确定函数，其信息已由 sin/cos 与 t/T 间接携带；（ii）路径缺口对 SL 是线性的，交由外层线性结构处理可避免非线性网络重复拟合；（iii）状态向量定义仍含 SL（式(3-3)），与原文“状态增广含目标水位”的哲学兼容。</w:t>
      </w:r>
    </w:p>
    <w:p>
      <w:pPr>
        <w:pStyle w:val="Heading2"/>
      </w:pPr>
      <w:r>
        <w:t>3.5 双渠道动作空间</w:t>
      </w:r>
    </w:p>
    <w:p>
      <w:pPr>
        <w:spacing w:line="360" w:lineRule="auto" w:after="120"/>
        <w:ind w:firstLine="480"/>
      </w:pPr>
      <w:r>
        <w:rPr>
          <w:rFonts w:ascii="Times New Roman" w:hAnsi="Times New Roman" w:eastAsia="宋体"/>
          <w:b w:val="0"/>
          <w:i w:val="0"/>
          <w:sz w:val="24"/>
        </w:rPr>
        <w:t>动作为二维非负向量 a_t=(q1_t, q2_t)：q1_t 为常规渠道订货量，经 L 期后在第 t+L 期受良率 y_(t+L) 支配整批到货或不达；q2_t 为应急渠道订货量，当期即时全额入库。相较原论文的标量动作，搜索空间由 R 扩展至 R²₊，这也是教师锚定设计（4.2节）必要性的来源之一。</w:t>
      </w:r>
    </w:p>
    <w:p>
      <w:pPr>
        <w:pStyle w:val="Heading2"/>
      </w:pPr>
      <w:r>
        <w:t>3.6 单期成本函数</w:t>
      </w:r>
    </w:p>
    <w:p>
      <w:pPr>
        <w:spacing w:line="360" w:lineRule="auto" w:after="120"/>
      </w:pPr>
      <w:r>
        <w:rPr>
          <w:rFonts w:ascii="Times New Roman" w:hAnsi="Times New Roman" w:eastAsia="宋体"/>
          <w:b w:val="0"/>
          <w:i w:val="0"/>
          <w:sz w:val="24"/>
        </w:rPr>
        <w:t>第 t 期折扣成本为（[x]⁺=max{x,0}）：</w:t>
      </w:r>
    </w:p>
    <w:p>
      <w:pPr>
        <w:tabs>
          <w:tab w:pos="4156" w:val="center"/>
          <w:tab w:pos="8311" w:val="right"/>
        </w:tabs>
        <w:spacing w:line="360" w:lineRule="auto" w:before="60" w:after="60"/>
      </w:pPr>
      <w:r>
        <w:rPr>
          <w:rFonts w:ascii="Times New Roman" w:hAnsi="Times New Roman" w:eastAsia="宋体"/>
          <w:b w:val="0"/>
          <w:i w:val="0"/>
          <w:sz w:val="24"/>
        </w:rPr>
        <w:tab/>
      </w:r>
      <m:oMath>
        <m:sSub>
          <m:e>
            <m:r>
              <m:t>C</m:t>
            </m:r>
          </m:e>
          <m:sub>
            <m:r>
              <m:t>t</m:t>
            </m:r>
          </m:sub>
        </m:sSub>
        <m:r>
          <m:t>=</m:t>
        </m:r>
        <m:sSup>
          <m:e>
            <m:r>
              <m:t>α</m:t>
            </m:r>
          </m:e>
          <m:sup>
            <m:r>
              <m:t>t</m:t>
            </m:r>
          </m:sup>
        </m:sSup>
        <m:d>
          <m:dPr>
            <m:begChr m:val="["/>
            <m:sepChr m:val=""/>
            <m:endChr m:val="]"/>
          </m:dPr>
          <m:e>
            <m:sSub>
              <m:e>
                <m:r>
                  <m:t>c</m:t>
                </m:r>
              </m:e>
              <m:sub>
                <m:r>
                  <m:t>1</m:t>
                </m:r>
              </m:sub>
            </m:sSub>
            <m:sSub>
              <m:e>
                <m:r>
                  <m:t>q</m:t>
                </m:r>
              </m:e>
              <m:sub>
                <m:r>
                  <m:t>t−L</m:t>
                </m:r>
              </m:sub>
            </m:sSub>
            <m:sSub>
              <m:e>
                <m:r>
                  <m:t>y</m:t>
                </m:r>
              </m:e>
              <m:sub>
                <m:r>
                  <m:t>t</m:t>
                </m:r>
              </m:sub>
            </m:sSub>
            <m:r>
              <m:t>+</m:t>
            </m:r>
            <m:sSub>
              <m:e>
                <m:r>
                  <m:t>c</m:t>
                </m:r>
              </m:e>
              <m:sub>
                <m:r>
                  <m:t>2</m:t>
                </m:r>
              </m:sub>
            </m:sSub>
            <m:sSub>
              <m:e>
                <m:r>
                  <m:t>q</m:t>
                </m:r>
              </m:e>
              <m:sub>
                <m:r>
                  <m:t>2,t</m:t>
                </m:r>
              </m:sub>
            </m:sSub>
            <m:r>
              <m:t>+</m:t>
            </m:r>
            <m:r>
              <m:t>h</m:t>
            </m:r>
            <m:r>
              <m:t>[</m:t>
            </m:r>
            <m:sSub>
              <m:e>
                <m:r>
                  <m:t>I</m:t>
                </m:r>
              </m:e>
              <m:sub>
                <m:r>
                  <m:t>t</m:t>
                </m:r>
              </m:sub>
            </m:sSub>
            <m:sSup>
              <m:e>
                <m:r>
                  <m:t>]</m:t>
                </m:r>
              </m:e>
              <m:sup>
                <m:r>
                  <m:t>+</m:t>
                </m:r>
              </m:sup>
            </m:sSup>
            <m:r>
              <m:t>+</m:t>
            </m:r>
            <m:r>
              <m:t>b</m:t>
            </m:r>
            <m:r>
              <m:t>[</m:t>
            </m:r>
            <m:r>
              <m:t>−</m:t>
            </m:r>
            <m:sSub>
              <m:e>
                <m:r>
                  <m:t>I</m:t>
                </m:r>
              </m:e>
              <m:sub>
                <m:r>
                  <m:t>t</m:t>
                </m:r>
              </m:sub>
            </m:sSub>
            <m:sSup>
              <m:e>
                <m:r>
                  <m:t>]</m:t>
                </m:r>
              </m:e>
              <m:sup>
                <m:r>
                  <m:t>+</m:t>
                </m:r>
              </m:sup>
            </m:sSup>
          </m:e>
        </m:d>
      </m:oMath>
      <w:r>
        <w:rPr>
          <w:rFonts w:ascii="Times New Roman" w:hAnsi="Times New Roman" w:eastAsia="宋体"/>
          <w:b w:val="0"/>
          <w:i w:val="0"/>
          <w:sz w:val="24"/>
        </w:rPr>
        <w:tab/>
      </w:r>
      <w:r>
        <w:rPr>
          <w:rFonts w:ascii="Times New Roman" w:hAnsi="Times New Roman" w:eastAsia="宋体"/>
          <w:b w:val="0"/>
          <w:i w:val="0"/>
          <w:sz w:val="24"/>
        </w:rPr>
        <w:t>(3-4)</w:t>
      </w:r>
    </w:p>
    <w:p>
      <w:pPr>
        <w:spacing w:line="360" w:lineRule="auto" w:after="120"/>
        <w:ind w:firstLine="480"/>
      </w:pPr>
      <w:r>
        <w:rPr>
          <w:rFonts w:ascii="Times New Roman" w:hAnsi="Times New Roman" w:eastAsia="宋体"/>
          <w:b w:val="0"/>
          <w:i w:val="0"/>
          <w:sz w:val="24"/>
        </w:rPr>
        <w:t>两点实现细节与原论文完全一致：其一，常规采购费仅在订单成功到货时计价（c1·q·y），报废批次不产生采购支出；其二，应急成本按实际入库量计价，发生在需求消耗之前；持有与缺货惩罚按需求消耗后的期末库存计提（对应原文 H(I_t) 的期末口径）。</w:t>
      </w:r>
    </w:p>
    <w:p>
      <w:pPr>
        <w:pStyle w:val="Heading2"/>
      </w:pPr>
      <w:r>
        <w:t>3.7 单步状态转移时序</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fill="D9D9D9"/>
          </w:tcPr>
          <w:p>
            <w:pPr>
              <w:jc w:val="center"/>
            </w:pPr>
            <w:r>
              <w:rPr>
                <w:rFonts w:ascii="Times New Roman" w:hAnsi="Times New Roman" w:eastAsia="宋体"/>
                <w:b/>
                <w:i w:val="0"/>
                <w:sz w:val="21"/>
              </w:rPr>
              <w:t>步骤</w:t>
            </w:r>
          </w:p>
        </w:tc>
        <w:tc>
          <w:tcPr>
            <w:tcW w:type="dxa" w:w="2078"/>
            <w:shd w:val="clear" w:fill="D9D9D9"/>
          </w:tcPr>
          <w:p>
            <w:pPr>
              <w:jc w:val="center"/>
            </w:pPr>
            <w:r>
              <w:rPr>
                <w:rFonts w:ascii="Times New Roman" w:hAnsi="Times New Roman" w:eastAsia="宋体"/>
                <w:b/>
                <w:i w:val="0"/>
                <w:sz w:val="21"/>
              </w:rPr>
              <w:t>事件</w:t>
            </w:r>
          </w:p>
        </w:tc>
        <w:tc>
          <w:tcPr>
            <w:tcW w:type="dxa" w:w="2078"/>
            <w:shd w:val="clear" w:fill="D9D9D9"/>
          </w:tcPr>
          <w:p>
            <w:pPr>
              <w:jc w:val="center"/>
            </w:pPr>
            <w:r>
              <w:rPr>
                <w:rFonts w:ascii="Times New Roman" w:hAnsi="Times New Roman" w:eastAsia="宋体"/>
                <w:b/>
                <w:i w:val="0"/>
                <w:sz w:val="21"/>
              </w:rPr>
              <w:t>库存更新 / 说明</w:t>
            </w:r>
          </w:p>
        </w:tc>
        <w:tc>
          <w:tcPr>
            <w:tcW w:type="dxa" w:w="2078"/>
            <w:shd w:val="clear" w:fill="D9D9D9"/>
          </w:tcPr>
          <w:p>
            <w:pPr>
              <w:jc w:val="center"/>
            </w:pPr>
            <w:r>
              <w:rPr>
                <w:rFonts w:ascii="Times New Roman" w:hAnsi="Times New Roman" w:eastAsia="宋体"/>
                <w:b/>
                <w:i w:val="0"/>
                <w:sz w:val="21"/>
              </w:rPr>
              <w:t>代码位置</w:t>
            </w:r>
          </w:p>
        </w:tc>
      </w:tr>
      <w:tr>
        <w:tc>
          <w:tcPr>
            <w:tcW w:type="dxa" w:w="2078"/>
          </w:tcPr>
          <w:p>
            <w:pPr>
              <w:jc w:val="left"/>
            </w:pPr>
            <w:r>
              <w:rPr>
                <w:rFonts w:ascii="Times New Roman" w:hAnsi="Times New Roman" w:eastAsia="宋体"/>
                <w:b w:val="0"/>
                <w:i w:val="0"/>
                <w:sz w:val="21"/>
              </w:rPr>
              <w:t>①</w:t>
            </w:r>
          </w:p>
        </w:tc>
        <w:tc>
          <w:tcPr>
            <w:tcW w:type="dxa" w:w="2078"/>
          </w:tcPr>
          <w:p>
            <w:pPr>
              <w:jc w:val="center"/>
            </w:pPr>
            <w:r>
              <w:rPr>
                <w:rFonts w:ascii="Times New Roman" w:hAnsi="Times New Roman" w:eastAsia="宋体"/>
                <w:b w:val="0"/>
                <w:i w:val="0"/>
                <w:sz w:val="21"/>
              </w:rPr>
              <w:t>常规渠道到货</w:t>
            </w:r>
          </w:p>
        </w:tc>
        <w:tc>
          <w:tcPr>
            <w:tcW w:type="dxa" w:w="2078"/>
          </w:tcPr>
          <w:p>
            <w:pPr>
              <w:jc w:val="center"/>
            </w:pPr>
            <w:r>
              <w:rPr>
                <w:rFonts w:ascii="Times New Roman" w:hAnsi="Times New Roman" w:eastAsia="宋体"/>
                <w:b w:val="0"/>
                <w:i w:val="0"/>
                <w:sz w:val="21"/>
              </w:rPr>
              <w:t>I ← I + q_(t−L)·y_t</w:t>
            </w:r>
          </w:p>
        </w:tc>
        <w:tc>
          <w:tcPr>
            <w:tcW w:type="dxa" w:w="2078"/>
          </w:tcPr>
          <w:p>
            <w:pPr>
              <w:jc w:val="center"/>
            </w:pPr>
            <w:r>
              <w:rPr>
                <w:rFonts w:ascii="Times New Roman" w:hAnsi="Times New Roman" w:eastAsia="宋体"/>
                <w:b w:val="0"/>
                <w:i w:val="0"/>
                <w:sz w:val="21"/>
              </w:rPr>
              <w:t>Model.test 步骤①；Env.step 于上一 step 末尾</w:t>
            </w:r>
          </w:p>
        </w:tc>
      </w:tr>
      <w:tr>
        <w:tc>
          <w:tcPr>
            <w:tcW w:type="dxa" w:w="2078"/>
          </w:tcPr>
          <w:p>
            <w:pPr>
              <w:jc w:val="left"/>
            </w:pPr>
            <w:r>
              <w:rPr>
                <w:rFonts w:ascii="Times New Roman" w:hAnsi="Times New Roman" w:eastAsia="宋体"/>
                <w:b w:val="0"/>
                <w:i w:val="0"/>
                <w:sz w:val="21"/>
              </w:rPr>
              <w:t>②</w:t>
            </w:r>
          </w:p>
        </w:tc>
        <w:tc>
          <w:tcPr>
            <w:tcW w:type="dxa" w:w="2078"/>
          </w:tcPr>
          <w:p>
            <w:pPr>
              <w:jc w:val="center"/>
            </w:pPr>
            <w:r>
              <w:rPr>
                <w:rFonts w:ascii="Times New Roman" w:hAnsi="Times New Roman" w:eastAsia="宋体"/>
                <w:b w:val="0"/>
                <w:i w:val="0"/>
                <w:sz w:val="21"/>
              </w:rPr>
              <w:t>观测与双路决策</w:t>
            </w:r>
          </w:p>
        </w:tc>
        <w:tc>
          <w:tcPr>
            <w:tcW w:type="dxa" w:w="2078"/>
          </w:tcPr>
          <w:p>
            <w:pPr>
              <w:jc w:val="center"/>
            </w:pPr>
            <w:r>
              <w:rPr>
                <w:rFonts w:ascii="Times New Roman" w:hAnsi="Times New Roman" w:eastAsia="宋体"/>
                <w:b w:val="0"/>
                <w:i w:val="0"/>
                <w:sz w:val="21"/>
              </w:rPr>
              <w:t>观测 s_t，输出 (q1_t, q2_t)</w:t>
            </w:r>
          </w:p>
        </w:tc>
        <w:tc>
          <w:tcPr>
            <w:tcW w:type="dxa" w:w="2078"/>
          </w:tcPr>
          <w:p>
            <w:pPr>
              <w:jc w:val="center"/>
            </w:pPr>
            <w:r>
              <w:rPr>
                <w:rFonts w:ascii="Times New Roman" w:hAnsi="Times New Roman" w:eastAsia="宋体"/>
                <w:b w:val="0"/>
                <w:i w:val="0"/>
                <w:sz w:val="21"/>
              </w:rPr>
              <w:t>Agent.act</w:t>
            </w:r>
          </w:p>
        </w:tc>
      </w:tr>
      <w:tr>
        <w:tc>
          <w:tcPr>
            <w:tcW w:type="dxa" w:w="2078"/>
          </w:tcPr>
          <w:p>
            <w:pPr>
              <w:jc w:val="left"/>
            </w:pPr>
            <w:r>
              <w:rPr>
                <w:rFonts w:ascii="Times New Roman" w:hAnsi="Times New Roman" w:eastAsia="宋体"/>
                <w:b w:val="0"/>
                <w:i w:val="0"/>
                <w:sz w:val="21"/>
              </w:rPr>
              <w:t>③</w:t>
            </w:r>
          </w:p>
        </w:tc>
        <w:tc>
          <w:tcPr>
            <w:tcW w:type="dxa" w:w="2078"/>
          </w:tcPr>
          <w:p>
            <w:pPr>
              <w:jc w:val="center"/>
            </w:pPr>
            <w:r>
              <w:rPr>
                <w:rFonts w:ascii="Times New Roman" w:hAnsi="Times New Roman" w:eastAsia="宋体"/>
                <w:b w:val="0"/>
                <w:i w:val="0"/>
                <w:sz w:val="21"/>
              </w:rPr>
              <w:t>应急即时入库</w:t>
            </w:r>
          </w:p>
        </w:tc>
        <w:tc>
          <w:tcPr>
            <w:tcW w:type="dxa" w:w="2078"/>
          </w:tcPr>
          <w:p>
            <w:pPr>
              <w:jc w:val="center"/>
            </w:pPr>
            <w:r>
              <w:rPr>
                <w:rFonts w:ascii="Times New Roman" w:hAnsi="Times New Roman" w:eastAsia="宋体"/>
                <w:b w:val="0"/>
                <w:i w:val="0"/>
                <w:sz w:val="21"/>
              </w:rPr>
              <w:t>I ← I + q2_t</w:t>
            </w:r>
          </w:p>
        </w:tc>
        <w:tc>
          <w:tcPr>
            <w:tcW w:type="dxa" w:w="2078"/>
          </w:tcPr>
          <w:p>
            <w:pPr>
              <w:jc w:val="center"/>
            </w:pPr>
            <w:r>
              <w:rPr>
                <w:rFonts w:ascii="Times New Roman" w:hAnsi="Times New Roman" w:eastAsia="宋体"/>
                <w:b w:val="0"/>
                <w:i w:val="0"/>
                <w:sz w:val="21"/>
              </w:rPr>
              <w:t>Model.test 步骤③</w:t>
            </w:r>
          </w:p>
        </w:tc>
      </w:tr>
      <w:tr>
        <w:tc>
          <w:tcPr>
            <w:tcW w:type="dxa" w:w="2078"/>
          </w:tcPr>
          <w:p>
            <w:pPr>
              <w:jc w:val="left"/>
            </w:pPr>
            <w:r>
              <w:rPr>
                <w:rFonts w:ascii="Times New Roman" w:hAnsi="Times New Roman" w:eastAsia="宋体"/>
                <w:b w:val="0"/>
                <w:i w:val="0"/>
                <w:sz w:val="21"/>
              </w:rPr>
              <w:t>④</w:t>
            </w:r>
          </w:p>
        </w:tc>
        <w:tc>
          <w:tcPr>
            <w:tcW w:type="dxa" w:w="2078"/>
          </w:tcPr>
          <w:p>
            <w:pPr>
              <w:jc w:val="center"/>
            </w:pPr>
            <w:r>
              <w:rPr>
                <w:rFonts w:ascii="Times New Roman" w:hAnsi="Times New Roman" w:eastAsia="宋体"/>
                <w:b w:val="0"/>
                <w:i w:val="0"/>
                <w:sz w:val="21"/>
              </w:rPr>
              <w:t>需求消耗</w:t>
            </w:r>
          </w:p>
        </w:tc>
        <w:tc>
          <w:tcPr>
            <w:tcW w:type="dxa" w:w="2078"/>
          </w:tcPr>
          <w:p>
            <w:pPr>
              <w:jc w:val="center"/>
            </w:pPr>
            <w:r>
              <w:rPr>
                <w:rFonts w:ascii="Times New Roman" w:hAnsi="Times New Roman" w:eastAsia="宋体"/>
                <w:b w:val="0"/>
                <w:i w:val="0"/>
                <w:sz w:val="21"/>
              </w:rPr>
              <w:t>I ← I − D_t</w:t>
            </w:r>
          </w:p>
        </w:tc>
        <w:tc>
          <w:tcPr>
            <w:tcW w:type="dxa" w:w="2078"/>
          </w:tcPr>
          <w:p>
            <w:pPr>
              <w:jc w:val="center"/>
            </w:pPr>
            <w:r>
              <w:rPr>
                <w:rFonts w:ascii="Times New Roman" w:hAnsi="Times New Roman" w:eastAsia="宋体"/>
                <w:b w:val="0"/>
                <w:i w:val="0"/>
                <w:sz w:val="21"/>
              </w:rPr>
              <w:t>步骤④</w:t>
            </w:r>
          </w:p>
        </w:tc>
      </w:tr>
      <w:tr>
        <w:tc>
          <w:tcPr>
            <w:tcW w:type="dxa" w:w="2078"/>
          </w:tcPr>
          <w:p>
            <w:pPr>
              <w:jc w:val="left"/>
            </w:pPr>
            <w:r>
              <w:rPr>
                <w:rFonts w:ascii="Times New Roman" w:hAnsi="Times New Roman" w:eastAsia="宋体"/>
                <w:b w:val="0"/>
                <w:i w:val="0"/>
                <w:sz w:val="21"/>
              </w:rPr>
              <w:t>⑤</w:t>
            </w:r>
          </w:p>
        </w:tc>
        <w:tc>
          <w:tcPr>
            <w:tcW w:type="dxa" w:w="2078"/>
          </w:tcPr>
          <w:p>
            <w:pPr>
              <w:jc w:val="center"/>
            </w:pPr>
            <w:r>
              <w:rPr>
                <w:rFonts w:ascii="Times New Roman" w:hAnsi="Times New Roman" w:eastAsia="宋体"/>
                <w:b w:val="0"/>
                <w:i w:val="0"/>
                <w:sz w:val="21"/>
              </w:rPr>
              <w:t>成本结算</w:t>
            </w:r>
          </w:p>
        </w:tc>
        <w:tc>
          <w:tcPr>
            <w:tcW w:type="dxa" w:w="2078"/>
          </w:tcPr>
          <w:p>
            <w:pPr>
              <w:jc w:val="center"/>
            </w:pPr>
            <w:r>
              <w:rPr>
                <w:rFonts w:ascii="Times New Roman" w:hAnsi="Times New Roman" w:eastAsia="宋体"/>
                <w:b w:val="0"/>
                <w:i w:val="0"/>
                <w:sz w:val="21"/>
              </w:rPr>
              <w:t>按式(3-4)累计</w:t>
            </w:r>
          </w:p>
        </w:tc>
        <w:tc>
          <w:tcPr>
            <w:tcW w:type="dxa" w:w="2078"/>
          </w:tcPr>
          <w:p>
            <w:pPr>
              <w:jc w:val="center"/>
            </w:pPr>
            <w:r>
              <w:rPr>
                <w:rFonts w:ascii="Times New Roman" w:hAnsi="Times New Roman" w:eastAsia="宋体"/>
                <w:b w:val="0"/>
                <w:i w:val="0"/>
                <w:sz w:val="21"/>
              </w:rPr>
              <w:t>步骤⑤</w:t>
            </w:r>
          </w:p>
        </w:tc>
      </w:tr>
      <w:tr>
        <w:tc>
          <w:tcPr>
            <w:tcW w:type="dxa" w:w="2078"/>
          </w:tcPr>
          <w:p>
            <w:pPr>
              <w:jc w:val="left"/>
            </w:pPr>
            <w:r>
              <w:rPr>
                <w:rFonts w:ascii="Times New Roman" w:hAnsi="Times New Roman" w:eastAsia="宋体"/>
                <w:b w:val="0"/>
                <w:i w:val="0"/>
                <w:sz w:val="21"/>
              </w:rPr>
              <w:t>⑥</w:t>
            </w:r>
          </w:p>
        </w:tc>
        <w:tc>
          <w:tcPr>
            <w:tcW w:type="dxa" w:w="2078"/>
          </w:tcPr>
          <w:p>
            <w:pPr>
              <w:jc w:val="center"/>
            </w:pPr>
            <w:r>
              <w:rPr>
                <w:rFonts w:ascii="Times New Roman" w:hAnsi="Times New Roman" w:eastAsia="宋体"/>
                <w:b w:val="0"/>
                <w:i w:val="0"/>
                <w:sz w:val="21"/>
              </w:rPr>
              <w:t>在途队列滚动</w:t>
            </w:r>
          </w:p>
        </w:tc>
        <w:tc>
          <w:tcPr>
            <w:tcW w:type="dxa" w:w="2078"/>
          </w:tcPr>
          <w:p>
            <w:pPr>
              <w:jc w:val="center"/>
            </w:pPr>
            <w:r>
              <w:rPr>
                <w:rFonts w:ascii="Times New Roman" w:hAnsi="Times New Roman" w:eastAsia="宋体"/>
                <w:b w:val="0"/>
                <w:i w:val="0"/>
                <w:sz w:val="21"/>
              </w:rPr>
              <w:t>新订单 q1_t 入队尾，队首移出</w:t>
            </w:r>
          </w:p>
        </w:tc>
        <w:tc>
          <w:tcPr>
            <w:tcW w:type="dxa" w:w="2078"/>
          </w:tcPr>
          <w:p>
            <w:pPr>
              <w:jc w:val="center"/>
            </w:pPr>
            <w:r>
              <w:rPr>
                <w:rFonts w:ascii="Times New Roman" w:hAnsi="Times New Roman" w:eastAsia="宋体"/>
                <w:b w:val="0"/>
                <w:i w:val="0"/>
                <w:sz w:val="21"/>
              </w:rPr>
              <w:t>步骤⑥</w:t>
            </w:r>
          </w:p>
        </w:tc>
      </w:tr>
    </w:tbl>
    <w:p>
      <w:pPr>
        <w:spacing w:after="0"/>
      </w:pPr>
    </w:p>
    <w:p>
      <w:pPr>
        <w:spacing w:line="288" w:lineRule="auto" w:before="80" w:after="120"/>
        <w:jc w:val="center"/>
      </w:pPr>
      <w:r>
        <w:rPr>
          <w:rFonts w:ascii="Times New Roman" w:hAnsi="Times New Roman" w:eastAsia="宋体"/>
          <w:b/>
          <w:i w:val="0"/>
          <w:sz w:val="21"/>
        </w:rPr>
        <w:t>表3-3 单周期六步时序（与 Model.test 及 Env.step 逐步对应）</w:t>
      </w:r>
    </w:p>
    <w:p>
      <w:pPr>
        <w:spacing w:line="360" w:lineRule="auto" w:after="120"/>
        <w:ind w:firstLine="480"/>
      </w:pPr>
      <w:r>
        <w:rPr>
          <w:rFonts w:ascii="Times New Roman" w:hAnsi="Times New Roman" w:eastAsia="宋体"/>
          <w:b w:val="0"/>
          <w:i w:val="0"/>
          <w:sz w:val="24"/>
        </w:rPr>
        <w:t>该时序是原文第三节事件流在双源下的自然推广，亦对应原文 Fig.3 的智能体—环境交互过程。实现等价性说明：训练环境 Env.step 将“下一期的常规到货”（含下一期良率）放在当前 step 末尾执行，评估环境 Model.test 在各 step 开头执行当期到货；两种组织方式的轨迹与成本完全等价。</w:t>
      </w:r>
    </w:p>
    <w:p>
      <w:pPr>
        <w:pStyle w:val="Heading2"/>
      </w:pPr>
      <w:r>
        <w:t>3.8 目标函数</w:t>
      </w:r>
    </w:p>
    <w:p>
      <w:pPr>
        <w:tabs>
          <w:tab w:pos="4156" w:val="center"/>
          <w:tab w:pos="8311" w:val="right"/>
        </w:tabs>
        <w:spacing w:line="360" w:lineRule="auto" w:before="60" w:after="60"/>
      </w:pPr>
      <w:r>
        <w:rPr>
          <w:rFonts w:ascii="Times New Roman" w:hAnsi="Times New Roman" w:eastAsia="宋体"/>
          <w:b w:val="0"/>
          <w:i w:val="0"/>
          <w:sz w:val="24"/>
        </w:rPr>
        <w:tab/>
      </w:r>
      <m:oMath>
        <m:r>
          <m:t>J(π)=E</m:t>
        </m:r>
        <m:d>
          <m:dPr>
            <m:begChr m:val="["/>
            <m:sepChr m:val=""/>
            <m:endChr m:val="]"/>
          </m:dPr>
          <m:e>
            <m:nary>
              <m:naryPr>
                <m:chr m:val="∑"/>
                <m:limLoc m:val="subSup"/>
                <m:grow m:val="1"/>
                <m:subHide m:val="off"/>
                <m:supHide m:val="off"/>
              </m:naryPr>
              <m:sub>
                <m:r>
                  <m:t>t=0</m:t>
                </m:r>
              </m:sub>
              <m:sup>
                <m:r>
                  <m:t>T−1</m:t>
                </m:r>
              </m:sup>
              <m:e>
                <m:sSup>
                  <m:e>
                    <m:r>
                      <m:t>α</m:t>
                    </m:r>
                  </m:e>
                  <m:sup>
                    <m:r>
                      <m:t>t</m:t>
                    </m:r>
                  </m:sup>
                </m:sSup>
              </m:e>
            </m:nary>
            <m:sSub>
              <m:e>
                <m:r>
                  <m:t>C</m:t>
                </m:r>
              </m:e>
              <m:sub>
                <m:r>
                  <m:t>t</m:t>
                </m:r>
              </m:sub>
            </m:sSub>
            <m:r>
              <m:t>(</m:t>
            </m:r>
            <m:sSub>
              <m:e>
                <m:r>
                  <m:t>s</m:t>
                </m:r>
              </m:e>
              <m:sub>
                <m:r>
                  <m:t>t</m:t>
                </m:r>
              </m:sub>
            </m:sSub>
            <m:r>
              <m:t>,</m:t>
            </m:r>
            <m:sSub>
              <m:e>
                <m:r>
                  <m:t>a</m:t>
                </m:r>
              </m:e>
              <m:sub>
                <m:r>
                  <m:t>t</m:t>
                </m:r>
              </m:sub>
            </m:sSub>
            <m:r>
              <m:t>)</m:t>
            </m:r>
          </m:e>
        </m:d>
        <m:r>
          <m:t>,</m:t>
        </m:r>
        <m:r>
          <m:rPr>
            <m:sty m:val="p"/>
          </m:rPr>
          <m:t>  </m:t>
        </m:r>
        <m:sSup>
          <m:e>
            <m:r>
              <m:t>π</m:t>
            </m:r>
          </m:e>
          <m:sup>
            <m:r>
              <m:t>*</m:t>
            </m:r>
          </m:sup>
        </m:sSup>
        <m:r>
          <m:t>=</m:t>
        </m:r>
        <m:r>
          <m:rPr>
            <m:sty m:val="p"/>
          </m:rPr>
          <m:t>\arg</m:t>
        </m:r>
        <m:r>
          <m:t>minJ(π)</m:t>
        </m:r>
      </m:oMath>
      <w:r>
        <w:rPr>
          <w:rFonts w:ascii="Times New Roman" w:hAnsi="Times New Roman" w:eastAsia="宋体"/>
          <w:b w:val="0"/>
          <w:i w:val="0"/>
          <w:sz w:val="24"/>
        </w:rPr>
        <w:tab/>
      </w:r>
      <w:r>
        <w:rPr>
          <w:rFonts w:ascii="Times New Roman" w:hAnsi="Times New Roman" w:eastAsia="宋体"/>
          <w:b w:val="0"/>
          <w:i w:val="0"/>
          <w:sz w:val="24"/>
        </w:rPr>
        <w:t>(3-5)</w:t>
      </w:r>
    </w:p>
    <w:p>
      <w:pPr>
        <w:pStyle w:val="Heading2"/>
      </w:pPr>
      <w:r>
        <w:t>3.9 动态目标库存与应急安全水位</w:t>
      </w:r>
    </w:p>
    <w:p>
      <w:pPr>
        <w:spacing w:line="360" w:lineRule="auto" w:after="120"/>
      </w:pPr>
      <w:r>
        <w:rPr>
          <w:rFonts w:ascii="Times New Roman" w:hAnsi="Times New Roman" w:eastAsia="宋体"/>
          <w:b w:val="0"/>
          <w:i w:val="0"/>
          <w:sz w:val="24"/>
        </w:rPr>
        <w:t>动态目标库存 SL(·) 是原文式(3)的时变推广，按指定期的需求参数计算：</w:t>
      </w:r>
    </w:p>
    <w:p>
      <w:pPr>
        <w:tabs>
          <w:tab w:pos="4156" w:val="center"/>
          <w:tab w:pos="8311" w:val="right"/>
        </w:tabs>
        <w:spacing w:line="360" w:lineRule="auto" w:before="60" w:after="60"/>
      </w:pPr>
      <w:r>
        <w:rPr>
          <w:rFonts w:ascii="Times New Roman" w:hAnsi="Times New Roman" w:eastAsia="宋体"/>
          <w:b w:val="0"/>
          <w:i w:val="0"/>
          <w:sz w:val="24"/>
        </w:rPr>
        <w:tab/>
      </w:r>
      <m:oMath>
        <m:r>
          <m:t>SL(u)=(L+1)μ(u)+k</m:t>
        </m:r>
        <m:rad>
          <m:radPr>
            <m:degHide m:val="on"/>
          </m:radPr>
          <m:deg/>
          <m:e>
            <m:r>
              <m:t>(L+1)</m:t>
            </m:r>
            <m:sSup>
              <m:e>
                <m:r>
                  <m:t>σ</m:t>
                </m:r>
              </m:e>
              <m:sup>
                <m:r>
                  <m:t>2</m:t>
                </m:r>
              </m:sup>
            </m:sSup>
            <m:r>
              <m:t>(u)+max(L,1)</m:t>
            </m:r>
            <m:f>
              <m:fPr>
                <m:type m:val="bar"/>
              </m:fPr>
              <m:num>
                <m:sSubSup>
                  <m:e>
                    <m:r>
                      <m:t>ρ</m:t>
                    </m:r>
                  </m:e>
                  <m:sub>
                    <m:r>
                      <m:t>Y</m:t>
                    </m:r>
                  </m:sub>
                  <m:sup>
                    <m:r>
                      <m:t>2</m:t>
                    </m:r>
                  </m:sup>
                </m:sSubSup>
              </m:num>
              <m:den>
                <m:r>
                  <m:t>1−</m:t>
                </m:r>
                <m:sSubSup>
                  <m:e>
                    <m:r>
                      <m:t>ρ</m:t>
                    </m:r>
                  </m:e>
                  <m:sub>
                    <m:r>
                      <m:t>Y</m:t>
                    </m:r>
                  </m:sub>
                  <m:sup>
                    <m:r>
                      <m:t>2</m:t>
                    </m:r>
                  </m:sup>
                </m:sSubSup>
              </m:den>
            </m:f>
            <m:d>
              <m:dPr>
                <m:sepChr m:val=""/>
              </m:dPr>
              <m:e>
                <m:sSup>
                  <m:e>
                    <m:r>
                      <m:t>μ</m:t>
                    </m:r>
                  </m:e>
                  <m:sup>
                    <m:r>
                      <m:t>2</m:t>
                    </m:r>
                  </m:sup>
                </m:sSup>
                <m:r>
                  <m:t>(</m:t>
                </m:r>
                <m:r>
                  <m:t>u</m:t>
                </m:r>
                <m:r>
                  <m:t>)</m:t>
                </m:r>
                <m:r>
                  <m:t>+</m:t>
                </m:r>
                <m:sSup>
                  <m:e>
                    <m:r>
                      <m:t>σ</m:t>
                    </m:r>
                  </m:e>
                  <m:sup>
                    <m:r>
                      <m:t>2</m:t>
                    </m:r>
                  </m:sup>
                </m:sSup>
                <m:r>
                  <m:t>(</m:t>
                </m:r>
                <m:r>
                  <m:t>u</m:t>
                </m:r>
                <m:r>
                  <m:t>)</m:t>
                </m:r>
              </m:e>
            </m:d>
          </m:e>
        </m:rad>
        <m:r>
          <m:t>,</m:t>
        </m:r>
        <m:r>
          <m:rPr>
            <m:sty m:val="p"/>
          </m:rPr>
          <m:t>  </m:t>
        </m:r>
        <m:sSub>
          <m:e>
            <m:r>
              <m:t>ρ</m:t>
            </m:r>
          </m:e>
          <m:sub>
            <m:r>
              <m:t>Y</m:t>
            </m:r>
          </m:sub>
        </m:sSub>
        <m:r>
          <m:t>=</m:t>
        </m:r>
        <m:rad>
          <m:radPr>
            <m:degHide m:val="on"/>
          </m:radPr>
          <m:deg/>
          <m:e>
            <m:f>
              <m:fPr>
                <m:type m:val="bar"/>
              </m:fPr>
              <m:num>
                <m:r>
                  <m:t>1−p</m:t>
                </m:r>
              </m:num>
              <m:den>
                <m:r>
                  <m:t>p</m:t>
                </m:r>
              </m:den>
            </m:f>
          </m:e>
        </m:rad>
        <m:r>
          <m:t>,</m:t>
        </m:r>
        <m:r>
          <m:rPr>
            <m:sty m:val="p"/>
          </m:rPr>
          <m:t>  </m:t>
        </m:r>
        <m:r>
          <m:t>k=</m:t>
        </m:r>
        <m:sSup>
          <m:e>
            <m:r>
              <m:t>Φ</m:t>
            </m:r>
          </m:e>
          <m:sup>
            <m:r>
              <m:t>−1</m:t>
            </m:r>
          </m:sup>
        </m:sSup>
        <m:d>
          <m:dPr>
            <m:sepChr m:val=""/>
          </m:dPr>
          <m:e>
            <m:f>
              <m:fPr>
                <m:type m:val="bar"/>
              </m:fPr>
              <m:num>
                <m:r>
                  <m:t>b</m:t>
                </m:r>
              </m:num>
              <m:den>
                <m:r>
                  <m:t>b+h</m:t>
                </m:r>
              </m:den>
            </m:f>
          </m:e>
        </m:d>
      </m:oMath>
      <w:r>
        <w:rPr>
          <w:rFonts w:ascii="Times New Roman" w:hAnsi="Times New Roman" w:eastAsia="宋体"/>
          <w:b w:val="0"/>
          <w:i w:val="0"/>
          <w:sz w:val="24"/>
        </w:rPr>
        <w:tab/>
      </w:r>
      <w:r>
        <w:rPr>
          <w:rFonts w:ascii="Times New Roman" w:hAnsi="Times New Roman" w:eastAsia="宋体"/>
          <w:b w:val="0"/>
          <w:i w:val="0"/>
          <w:sz w:val="24"/>
        </w:rPr>
        <w:t>(3-6)</w:t>
      </w:r>
    </w:p>
    <w:p>
      <w:pPr>
        <w:spacing w:line="360" w:lineRule="auto" w:after="120"/>
      </w:pPr>
      <w:r>
        <w:rPr>
          <w:rFonts w:ascii="Times New Roman" w:hAnsi="Times New Roman" w:eastAsia="宋体"/>
          <w:b w:val="0"/>
          <w:i w:val="0"/>
          <w:sz w:val="24"/>
        </w:rPr>
        <w:t>状态中使用 SL(t+L)：订单于 t 期下达、t+L 期到达，故以到达期分布确定目标水位。这一“逐期计算 S_L^t”的做法在原文附录D.2 处理非 IID 需求时已被采用（依 Inderfurth &amp; Kiesmüller, 2015）；本文以正弦参数化将其闭式表达。应急渠道的单期报童安全水位为临界分位数 (b−c2)/(b+h) 对应的正态分位数：</w:t>
      </w:r>
    </w:p>
    <w:p>
      <w:pPr>
        <w:tabs>
          <w:tab w:pos="4156" w:val="center"/>
          <w:tab w:pos="8311" w:val="right"/>
        </w:tabs>
        <w:spacing w:line="360" w:lineRule="auto" w:before="60" w:after="60"/>
      </w:pPr>
      <w:r>
        <w:rPr>
          <w:rFonts w:ascii="Times New Roman" w:hAnsi="Times New Roman" w:eastAsia="宋体"/>
          <w:b w:val="0"/>
          <w:i w:val="0"/>
          <w:sz w:val="24"/>
        </w:rPr>
        <w:tab/>
      </w:r>
      <m:oMath>
        <m:r>
          <m:t>S0(t)=μ(t)+</m:t>
        </m:r>
        <m:sSup>
          <m:e>
            <m:r>
              <m:t>Φ</m:t>
            </m:r>
          </m:e>
          <m:sup>
            <m:r>
              <m:t>−1</m:t>
            </m:r>
          </m:sup>
        </m:sSup>
        <m:d>
          <m:dPr>
            <m:sepChr m:val=""/>
          </m:dPr>
          <m:e>
            <m:f>
              <m:fPr>
                <m:type m:val="bar"/>
              </m:fPr>
              <m:num>
                <m:r>
                  <m:t>b−</m:t>
                </m:r>
                <m:sSub>
                  <m:e>
                    <m:r>
                      <m:t>c</m:t>
                    </m:r>
                  </m:e>
                  <m:sub>
                    <m:r>
                      <m:t>2</m:t>
                    </m:r>
                  </m:sub>
                </m:sSub>
              </m:num>
              <m:den>
                <m:r>
                  <m:t>b+h</m:t>
                </m:r>
              </m:den>
            </m:f>
          </m:e>
        </m:d>
        <m:r>
          <m:t>σ(t);</m:t>
        </m:r>
        <m:r>
          <m:rPr>
            <m:sty m:val="p"/>
          </m:rPr>
          <m:t>  </m:t>
        </m:r>
        <m:r>
          <m:t>S0(t)=0</m:t>
        </m:r>
        <m:r>
          <m:rPr>
            <m:sty m:val="p"/>
          </m:rPr>
          <m:t>  </m:t>
        </m:r>
        <m:r>
          <m:t>(</m:t>
        </m:r>
        <m:sSub>
          <m:e>
            <m:r>
              <m:t>c</m:t>
            </m:r>
          </m:e>
          <m:sub>
            <m:r>
              <m:t>2</m:t>
            </m:r>
          </m:sub>
        </m:sSub>
        <m:r>
          <m:t>≥b)</m:t>
        </m:r>
      </m:oMath>
      <w:r>
        <w:rPr>
          <w:rFonts w:ascii="Times New Roman" w:hAnsi="Times New Roman" w:eastAsia="宋体"/>
          <w:b w:val="0"/>
          <w:i w:val="0"/>
          <w:sz w:val="24"/>
        </w:rPr>
        <w:tab/>
      </w:r>
      <w:r>
        <w:rPr>
          <w:rFonts w:ascii="Times New Roman" w:hAnsi="Times New Roman" w:eastAsia="宋体"/>
          <w:b w:val="0"/>
          <w:i w:val="0"/>
          <w:sz w:val="24"/>
        </w:rPr>
        <w:t>(3-7)</w:t>
      </w:r>
    </w:p>
    <w:p>
      <w:pPr>
        <w:pStyle w:val="Heading1"/>
      </w:pPr>
      <w:r>
        <w:t>第四章 启发式基准策略与扩展 DRL 求解架构</w:t>
      </w:r>
    </w:p>
    <w:p>
      <w:pPr>
        <w:pStyle w:val="Heading2"/>
      </w:pPr>
      <w:r>
        <w:t>4.1 启发式基准策略族</w:t>
      </w:r>
    </w:p>
    <w:p>
      <w:pPr>
        <w:spacing w:line="360" w:lineRule="auto" w:after="120"/>
        <w:ind w:firstLine="480"/>
      </w:pPr>
      <w:r>
        <w:rPr>
          <w:rFonts w:ascii="Times New Roman" w:hAnsi="Times New Roman" w:eastAsia="宋体"/>
          <w:b w:val="0"/>
          <w:i w:val="0"/>
          <w:sz w:val="24"/>
        </w:rPr>
        <w:t>各策略接口统一为 test(I, q_vector, t) → (q1, q2)，其中 I 为常规到货后、应急决策前的库存。前三个策略 q2≡0，NV 的 q1≡0。</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fill="D9D9D9"/>
          </w:tcPr>
          <w:p>
            <w:pPr>
              <w:jc w:val="center"/>
            </w:pPr>
            <w:r>
              <w:rPr>
                <w:rFonts w:ascii="Times New Roman" w:hAnsi="Times New Roman" w:eastAsia="宋体"/>
                <w:b/>
                <w:i w:val="0"/>
                <w:sz w:val="21"/>
              </w:rPr>
              <w:t>策略</w:t>
            </w:r>
          </w:p>
        </w:tc>
        <w:tc>
          <w:tcPr>
            <w:tcW w:type="dxa" w:w="2771"/>
            <w:shd w:val="clear" w:fill="D9D9D9"/>
          </w:tcPr>
          <w:p>
            <w:pPr>
              <w:jc w:val="center"/>
            </w:pPr>
            <w:r>
              <w:rPr>
                <w:rFonts w:ascii="Times New Roman" w:hAnsi="Times New Roman" w:eastAsia="宋体"/>
                <w:b/>
                <w:i w:val="0"/>
                <w:sz w:val="21"/>
              </w:rPr>
              <w:t>机制概述</w:t>
            </w:r>
          </w:p>
        </w:tc>
        <w:tc>
          <w:tcPr>
            <w:tcW w:type="dxa" w:w="2771"/>
            <w:shd w:val="clear" w:fill="D9D9D9"/>
          </w:tcPr>
          <w:p>
            <w:pPr>
              <w:jc w:val="center"/>
            </w:pPr>
            <w:r>
              <w:rPr>
                <w:rFonts w:ascii="Times New Roman" w:hAnsi="Times New Roman" w:eastAsia="宋体"/>
                <w:b/>
                <w:i w:val="0"/>
                <w:sz w:val="21"/>
              </w:rPr>
              <w:t>定位</w:t>
            </w:r>
          </w:p>
        </w:tc>
      </w:tr>
      <w:tr>
        <w:tc>
          <w:tcPr>
            <w:tcW w:type="dxa" w:w="2771"/>
          </w:tcPr>
          <w:p>
            <w:pPr>
              <w:jc w:val="left"/>
            </w:pPr>
            <w:r>
              <w:rPr>
                <w:rFonts w:ascii="Times New Roman" w:hAnsi="Times New Roman" w:eastAsia="宋体"/>
                <w:b w:val="0"/>
                <w:i w:val="0"/>
                <w:sz w:val="21"/>
              </w:rPr>
              <w:t>Qt_BASE</w:t>
            </w:r>
          </w:p>
        </w:tc>
        <w:tc>
          <w:tcPr>
            <w:tcW w:type="dxa" w:w="2771"/>
          </w:tcPr>
          <w:p>
            <w:pPr>
              <w:jc w:val="center"/>
            </w:pPr>
            <w:r>
              <w:rPr>
                <w:rFonts w:ascii="Times New Roman" w:hAnsi="Times New Roman" w:eastAsia="宋体"/>
                <w:b w:val="0"/>
                <w:i w:val="0"/>
                <w:sz w:val="21"/>
              </w:rPr>
              <w:t>目标缺口全量补足（管道全额计入），q=[SL−I−Σq]⁺</w:t>
            </w:r>
          </w:p>
        </w:tc>
        <w:tc>
          <w:tcPr>
            <w:tcW w:type="dxa" w:w="2771"/>
          </w:tcPr>
          <w:p>
            <w:pPr>
              <w:jc w:val="center"/>
            </w:pPr>
            <w:r>
              <w:rPr>
                <w:rFonts w:ascii="Times New Roman" w:hAnsi="Times New Roman" w:eastAsia="宋体"/>
                <w:b w:val="0"/>
                <w:i w:val="0"/>
                <w:sz w:val="21"/>
              </w:rPr>
              <w:t>简单基线，性能下界</w:t>
            </w:r>
          </w:p>
        </w:tc>
      </w:tr>
      <w:tr>
        <w:tc>
          <w:tcPr>
            <w:tcW w:type="dxa" w:w="2771"/>
          </w:tcPr>
          <w:p>
            <w:pPr>
              <w:jc w:val="left"/>
            </w:pPr>
            <w:r>
              <w:rPr>
                <w:rFonts w:ascii="Times New Roman" w:hAnsi="Times New Roman" w:eastAsia="宋体"/>
                <w:b w:val="0"/>
                <w:i w:val="0"/>
                <w:sz w:val="21"/>
              </w:rPr>
              <w:t>Qt_LIR</w:t>
            </w:r>
          </w:p>
        </w:tc>
        <w:tc>
          <w:tcPr>
            <w:tcW w:type="dxa" w:w="2771"/>
          </w:tcPr>
          <w:p>
            <w:pPr>
              <w:jc w:val="center"/>
            </w:pPr>
            <w:r>
              <w:rPr>
                <w:rFonts w:ascii="Times New Roman" w:hAnsi="Times New Roman" w:eastAsia="宋体"/>
                <w:b w:val="0"/>
                <w:i w:val="0"/>
                <w:sz w:val="21"/>
              </w:rPr>
              <w:t>线性膨胀规则，管道按期望良率 p 折扣（β=1）</w:t>
            </w:r>
          </w:p>
        </w:tc>
        <w:tc>
          <w:tcPr>
            <w:tcW w:type="dxa" w:w="2771"/>
          </w:tcPr>
          <w:p>
            <w:pPr>
              <w:jc w:val="center"/>
            </w:pPr>
            <w:r>
              <w:rPr>
                <w:rFonts w:ascii="Times New Roman" w:hAnsi="Times New Roman" w:eastAsia="宋体"/>
                <w:b w:val="0"/>
                <w:i w:val="0"/>
                <w:sz w:val="21"/>
              </w:rPr>
              <w:t>简单基线（原文基准）</w:t>
            </w:r>
          </w:p>
        </w:tc>
      </w:tr>
      <w:tr>
        <w:tc>
          <w:tcPr>
            <w:tcW w:type="dxa" w:w="2771"/>
          </w:tcPr>
          <w:p>
            <w:pPr>
              <w:jc w:val="left"/>
            </w:pPr>
            <w:r>
              <w:rPr>
                <w:rFonts w:ascii="Times New Roman" w:hAnsi="Times New Roman" w:eastAsia="宋体"/>
                <w:b w:val="0"/>
                <w:i w:val="0"/>
                <w:sz w:val="21"/>
              </w:rPr>
              <w:t>Qt_WNH</w:t>
            </w:r>
          </w:p>
        </w:tc>
        <w:tc>
          <w:tcPr>
            <w:tcW w:type="dxa" w:w="2771"/>
          </w:tcPr>
          <w:p>
            <w:pPr>
              <w:jc w:val="center"/>
            </w:pPr>
            <w:r>
              <w:rPr>
                <w:rFonts w:ascii="Times New Roman" w:hAnsi="Times New Roman" w:eastAsia="宋体"/>
                <w:b w:val="0"/>
                <w:i w:val="0"/>
                <w:sz w:val="21"/>
              </w:rPr>
              <w:t>路径加权报童启发式，枚举管道良率样本路径</w:t>
            </w:r>
          </w:p>
        </w:tc>
        <w:tc>
          <w:tcPr>
            <w:tcW w:type="dxa" w:w="2771"/>
          </w:tcPr>
          <w:p>
            <w:pPr>
              <w:jc w:val="center"/>
            </w:pPr>
            <w:r>
              <w:rPr>
                <w:rFonts w:ascii="Times New Roman" w:hAnsi="Times New Roman" w:eastAsia="宋体"/>
                <w:b w:val="0"/>
                <w:i w:val="0"/>
                <w:sz w:val="21"/>
              </w:rPr>
              <w:t>主要启发式基准（原文最优参照）</w:t>
            </w:r>
          </w:p>
        </w:tc>
      </w:tr>
      <w:tr>
        <w:tc>
          <w:tcPr>
            <w:tcW w:type="dxa" w:w="2771"/>
          </w:tcPr>
          <w:p>
            <w:pPr>
              <w:jc w:val="left"/>
            </w:pPr>
            <w:r>
              <w:rPr>
                <w:rFonts w:ascii="Times New Roman" w:hAnsi="Times New Roman" w:eastAsia="宋体"/>
                <w:b w:val="0"/>
                <w:i w:val="0"/>
                <w:sz w:val="21"/>
              </w:rPr>
              <w:t>Qt_NV</w:t>
            </w:r>
          </w:p>
        </w:tc>
        <w:tc>
          <w:tcPr>
            <w:tcW w:type="dxa" w:w="2771"/>
          </w:tcPr>
          <w:p>
            <w:pPr>
              <w:jc w:val="center"/>
            </w:pPr>
            <w:r>
              <w:rPr>
                <w:rFonts w:ascii="Times New Roman" w:hAnsi="Times New Roman" w:eastAsia="宋体"/>
                <w:b w:val="0"/>
                <w:i w:val="0"/>
                <w:sz w:val="21"/>
              </w:rPr>
              <w:t>纯应急报童：只按 S0(t) 补足</w:t>
            </w:r>
          </w:p>
        </w:tc>
        <w:tc>
          <w:tcPr>
            <w:tcW w:type="dxa" w:w="2771"/>
          </w:tcPr>
          <w:p>
            <w:pPr>
              <w:jc w:val="center"/>
            </w:pPr>
            <w:r>
              <w:rPr>
                <w:rFonts w:ascii="Times New Roman" w:hAnsi="Times New Roman" w:eastAsia="宋体"/>
                <w:b w:val="0"/>
                <w:i w:val="0"/>
                <w:sz w:val="21"/>
              </w:rPr>
              <w:t>应急渠道单独基线（新增）</w:t>
            </w:r>
          </w:p>
        </w:tc>
      </w:tr>
      <w:tr>
        <w:tc>
          <w:tcPr>
            <w:tcW w:type="dxa" w:w="2771"/>
          </w:tcPr>
          <w:p>
            <w:pPr>
              <w:jc w:val="left"/>
            </w:pPr>
            <w:r>
              <w:rPr>
                <w:rFonts w:ascii="Times New Roman" w:hAnsi="Times New Roman" w:eastAsia="宋体"/>
                <w:b w:val="0"/>
                <w:i w:val="0"/>
                <w:sz w:val="21"/>
              </w:rPr>
              <w:t>Qt_HEUR</w:t>
            </w:r>
          </w:p>
        </w:tc>
        <w:tc>
          <w:tcPr>
            <w:tcW w:type="dxa" w:w="2771"/>
          </w:tcPr>
          <w:p>
            <w:pPr>
              <w:jc w:val="center"/>
            </w:pPr>
            <w:r>
              <w:rPr>
                <w:rFonts w:ascii="Times New Roman" w:hAnsi="Times New Roman" w:eastAsia="宋体"/>
                <w:b w:val="0"/>
                <w:i w:val="0"/>
                <w:sz w:val="21"/>
              </w:rPr>
              <w:t>WNH（q1）＋NV（q2）联合下达</w:t>
            </w:r>
          </w:p>
        </w:tc>
        <w:tc>
          <w:tcPr>
            <w:tcW w:type="dxa" w:w="2771"/>
          </w:tcPr>
          <w:p>
            <w:pPr>
              <w:jc w:val="center"/>
            </w:pPr>
            <w:r>
              <w:rPr>
                <w:rFonts w:ascii="Times New Roman" w:hAnsi="Times New Roman" w:eastAsia="宋体"/>
                <w:b w:val="0"/>
                <w:i w:val="0"/>
                <w:sz w:val="21"/>
              </w:rPr>
              <w:t>双源启发式基准、DRL 教师与损失分母（新增）</w:t>
            </w:r>
          </w:p>
        </w:tc>
      </w:tr>
    </w:tbl>
    <w:p>
      <w:pPr>
        <w:spacing w:after="0"/>
      </w:pPr>
    </w:p>
    <w:p>
      <w:pPr>
        <w:spacing w:line="288" w:lineRule="auto" w:before="80" w:after="120"/>
        <w:jc w:val="center"/>
      </w:pPr>
      <w:r>
        <w:rPr>
          <w:rFonts w:ascii="Times New Roman" w:hAnsi="Times New Roman" w:eastAsia="宋体"/>
          <w:b/>
          <w:i w:val="0"/>
          <w:sz w:val="21"/>
        </w:rPr>
        <w:t>表4-1 启发式策略族及其角色</w:t>
      </w:r>
    </w:p>
    <w:p>
      <w:pPr>
        <w:spacing w:line="360" w:lineRule="auto" w:after="120"/>
      </w:pPr>
      <w:r>
        <w:rPr>
          <w:rFonts w:ascii="Times New Roman" w:hAnsi="Times New Roman" w:eastAsia="宋体"/>
          <w:b w:val="0"/>
          <w:i w:val="0"/>
          <w:sz w:val="24"/>
        </w:rPr>
        <w:t>BASE 与 LIR：</w:t>
      </w:r>
    </w:p>
    <w:p>
      <w:pPr>
        <w:tabs>
          <w:tab w:pos="4156" w:val="center"/>
          <w:tab w:pos="8311" w:val="right"/>
        </w:tabs>
        <w:spacing w:line="360" w:lineRule="auto" w:before="60" w:after="60"/>
      </w:pPr>
      <w:r>
        <w:rPr>
          <w:rFonts w:ascii="Times New Roman" w:hAnsi="Times New Roman" w:eastAsia="宋体"/>
          <w:b w:val="0"/>
          <w:i w:val="0"/>
          <w:sz w:val="24"/>
        </w:rPr>
        <w:tab/>
      </w:r>
      <m:oMath>
        <m:sSub>
          <m:e>
            <m:r>
              <m:t>q</m:t>
            </m:r>
          </m:e>
          <m:sub>
            <m:r>
              <m:t>1,BASE</m:t>
            </m:r>
          </m:sub>
        </m:sSub>
        <m:r>
          <m:t>=max(</m:t>
        </m:r>
        <m:sSub>
          <m:e>
            <m:r>
              <m:t>S</m:t>
            </m:r>
          </m:e>
          <m:sub>
            <m:r>
              <m:t>L</m:t>
            </m:r>
          </m:sub>
        </m:sSub>
        <m:r>
          <m:t>−I−</m:t>
        </m:r>
        <m:nary>
          <m:naryPr>
            <m:chr m:val="∑"/>
            <m:limLoc m:val="subSup"/>
            <m:grow m:val="1"/>
            <m:subHide m:val="off"/>
            <m:supHide m:val="on"/>
          </m:naryPr>
          <m:sub>
            <m:argPr>
              <m:scrLvl m:val="0"/>
            </m:argPr>
            <m:r>
              <m:t>i</m:t>
            </m:r>
          </m:sub>
          <m:sup>
            <m:argPr>
              <m:scrLvl m:val="0"/>
            </m:argPr>
          </m:sup>
          <m:e>
            <m:argPr>
              <m:scrLvl m:val="0"/>
            </m:argPr>
            <m:sSub>
              <m:e>
                <m:argPr>
                  <m:scrLvl m:val="0"/>
                </m:argPr>
                <m:r>
                  <m:t>q</m:t>
                </m:r>
              </m:e>
              <m:sub>
                <m:argPr>
                  <m:scrLvl m:val="0"/>
                </m:argPr>
                <m:r>
                  <m:t>i</m:t>
                </m:r>
              </m:sub>
            </m:sSub>
          </m:e>
        </m:nary>
        <m:r>
          <m:t>,</m:t>
        </m:r>
        <m:r>
          <m:t>0);</m:t>
        </m:r>
        <m:r>
          <m:rPr>
            <m:sty m:val="p"/>
          </m:rPr>
          <m:t>  </m:t>
        </m:r>
        <m:sSub>
          <m:e>
            <m:argPr>
              <m:scrLvl m:val="0"/>
            </m:argPr>
            <m:r>
              <m:t>q</m:t>
            </m:r>
          </m:e>
          <m:sub>
            <m:argPr>
              <m:scrLvl m:val="0"/>
            </m:argPr>
            <m:r>
              <m:t>1,LIR</m:t>
            </m:r>
          </m:sub>
        </m:sSub>
        <m:r>
          <m:t>=max(</m:t>
        </m:r>
        <m:sSub>
          <m:e>
            <m:argPr>
              <m:scrLvl m:val="0"/>
            </m:argPr>
            <m:r>
              <m:t>S</m:t>
            </m:r>
          </m:e>
          <m:sub>
            <m:argPr>
              <m:scrLvl m:val="0"/>
            </m:argPr>
            <m:r>
              <m:t>L</m:t>
            </m:r>
          </m:sub>
        </m:sSub>
        <m:r>
          <m:t>−I−p</m:t>
        </m:r>
        <m:nary>
          <m:naryPr>
            <m:chr m:val="∑"/>
            <m:limLoc m:val="subSup"/>
            <m:grow m:val="1"/>
            <m:subHide m:val="off"/>
            <m:supHide m:val="on"/>
          </m:naryPr>
          <m:sub>
            <m:argPr>
              <m:scrLvl m:val="0"/>
            </m:argPr>
            <m:r>
              <m:t>i</m:t>
            </m:r>
          </m:sub>
          <m:sup>
            <m:argPr>
              <m:scrLvl m:val="0"/>
            </m:argPr>
          </m:sup>
          <m:e>
            <m:argPr>
              <m:scrLvl m:val="0"/>
            </m:argPr>
            <m:sSub>
              <m:e>
                <m:argPr>
                  <m:scrLvl m:val="0"/>
                </m:argPr>
                <m:r>
                  <m:t>q</m:t>
                </m:r>
              </m:e>
              <m:sub>
                <m:argPr>
                  <m:scrLvl m:val="0"/>
                </m:argPr>
                <m:r>
                  <m:t>i</m:t>
                </m:r>
              </m:sub>
            </m:sSub>
          </m:e>
        </m:nary>
        <m:r>
          <m:t>,</m:t>
        </m:r>
        <m:r>
          <m:t>0)</m:t>
        </m:r>
      </m:oMath>
      <w:r>
        <w:rPr>
          <w:rFonts w:ascii="Times New Roman" w:hAnsi="Times New Roman" w:eastAsia="宋体"/>
          <w:b w:val="0"/>
          <w:i w:val="0"/>
          <w:sz w:val="24"/>
        </w:rPr>
        <w:tab/>
      </w:r>
      <w:r>
        <w:rPr>
          <w:rFonts w:ascii="Times New Roman" w:hAnsi="Times New Roman" w:eastAsia="宋体"/>
          <w:b w:val="0"/>
          <w:i w:val="0"/>
          <w:sz w:val="24"/>
        </w:rPr>
        <w:t>(4-1)</w:t>
      </w:r>
    </w:p>
    <w:p>
      <w:pPr>
        <w:spacing w:line="360" w:lineRule="auto" w:after="120"/>
      </w:pPr>
      <w:r>
        <w:rPr>
          <w:rFonts w:ascii="Times New Roman" w:hAnsi="Times New Roman" w:eastAsia="宋体"/>
          <w:b w:val="0"/>
          <w:i w:val="0"/>
          <w:sz w:val="24"/>
        </w:rPr>
        <w:t>WNH：设路径集合 U={0,1}^{L−1} 枚举管道 L−1 笔订单在下一到达节点的全部良率场景，y∈U 记一条路径、‖y‖₁为其元素和，则场景概率与路径缺口分别为：</w:t>
      </w:r>
    </w:p>
    <w:p>
      <w:pPr>
        <w:tabs>
          <w:tab w:pos="4156" w:val="center"/>
          <w:tab w:pos="8311" w:val="right"/>
        </w:tabs>
        <w:spacing w:line="360" w:lineRule="auto" w:before="60" w:after="60"/>
      </w:pPr>
      <w:r>
        <w:rPr>
          <w:rFonts w:ascii="Times New Roman" w:hAnsi="Times New Roman" w:eastAsia="宋体"/>
          <w:b w:val="0"/>
          <w:i w:val="0"/>
          <w:sz w:val="24"/>
        </w:rPr>
        <w:tab/>
      </w:r>
      <m:oMath>
        <m:r>
          <m:t>P(y)=</m:t>
        </m:r>
        <m:sSup>
          <m:e>
            <m:r>
              <m:t>p</m:t>
            </m:r>
          </m:e>
          <m:sup>
            <m:r>
              <m:t>‖y</m:t>
            </m:r>
            <m:sSub>
              <m:e>
                <m:r>
                  <m:t>‖</m:t>
                </m:r>
              </m:e>
              <m:sub>
                <m:r>
                  <m:t>1</m:t>
                </m:r>
              </m:sub>
            </m:sSub>
          </m:sup>
        </m:sSup>
        <m:r>
          <m:t>(1−p</m:t>
        </m:r>
        <m:sSup>
          <m:e>
            <m:r>
              <m:t>)</m:t>
            </m:r>
          </m:e>
          <m:sup>
            <m:r>
              <m:t>L−1−‖y</m:t>
            </m:r>
            <m:sSub>
              <m:e>
                <m:r>
                  <m:t>‖</m:t>
                </m:r>
              </m:e>
              <m:sub>
                <m:r>
                  <m:t>1</m:t>
                </m:r>
              </m:sub>
            </m:sSub>
          </m:sup>
        </m:sSup>
        <m:r>
          <m:t>,</m:t>
        </m:r>
        <m:r>
          <m:rPr>
            <m:sty m:val="p"/>
          </m:rPr>
          <m:t>  </m:t>
        </m:r>
        <m:r>
          <m:t>g(y)=</m:t>
        </m:r>
        <m:sSub>
          <m:e>
            <m:r>
              <m:t>S</m:t>
            </m:r>
          </m:e>
          <m:sub>
            <m:r>
              <m:t>L</m:t>
            </m:r>
          </m:sub>
        </m:sSub>
        <m:r>
          <m:t>−I−</m:t>
        </m:r>
        <m:nary>
          <m:naryPr>
            <m:chr m:val="∑"/>
            <m:limLoc m:val="subSup"/>
            <m:grow m:val="1"/>
            <m:subHide m:val="off"/>
            <m:supHide m:val="off"/>
          </m:naryPr>
          <m:sub>
            <m:r>
              <m:t>i=1</m:t>
            </m:r>
          </m:sub>
          <m:sup>
            <m:r>
              <m:t>L−1</m:t>
            </m:r>
          </m:sup>
          <m:e>
            <m:sSub>
              <m:e>
                <m:r>
                  <m:t>q</m:t>
                </m:r>
              </m:e>
              <m:sub>
                <m:r>
                  <m:t>i</m:t>
                </m:r>
              </m:sub>
            </m:sSub>
          </m:e>
        </m:nary>
        <m:sSub>
          <m:e>
            <m:r>
              <m:t>y</m:t>
            </m:r>
          </m:e>
          <m:sub>
            <m:r>
              <m:t>i</m:t>
            </m:r>
          </m:sub>
        </m:sSub>
      </m:oMath>
      <w:r>
        <w:rPr>
          <w:rFonts w:ascii="Times New Roman" w:hAnsi="Times New Roman" w:eastAsia="宋体"/>
          <w:b w:val="0"/>
          <w:i w:val="0"/>
          <w:sz w:val="24"/>
        </w:rPr>
        <w:tab/>
      </w:r>
      <w:r>
        <w:rPr>
          <w:rFonts w:ascii="Times New Roman" w:hAnsi="Times New Roman" w:eastAsia="宋体"/>
          <w:b w:val="0"/>
          <w:i w:val="0"/>
          <w:sz w:val="24"/>
        </w:rPr>
        <w:t>(4-2)</w:t>
      </w:r>
    </w:p>
    <w:p>
      <w:pPr>
        <w:tabs>
          <w:tab w:pos="4156" w:val="center"/>
          <w:tab w:pos="8311" w:val="right"/>
        </w:tabs>
        <w:spacing w:line="360" w:lineRule="auto" w:before="60" w:after="60"/>
      </w:pPr>
      <w:r>
        <w:rPr>
          <w:rFonts w:ascii="Times New Roman" w:hAnsi="Times New Roman" w:eastAsia="宋体"/>
          <w:b w:val="0"/>
          <w:i w:val="0"/>
          <w:sz w:val="24"/>
        </w:rPr>
        <w:tab/>
      </w:r>
      <m:oMath>
        <m:sSub>
          <m:e>
            <m:r>
              <m:t>q</m:t>
            </m:r>
          </m:e>
          <m:sub>
            <m:r>
              <m:t>1,WNH</m:t>
            </m:r>
          </m:sub>
        </m:sSub>
        <m:r>
          <m:t>=</m:t>
        </m:r>
        <m:nary>
          <m:naryPr>
            <m:chr m:val="∑"/>
            <m:limLoc m:val="subSup"/>
            <m:grow m:val="1"/>
            <m:subHide m:val="off"/>
            <m:supHide m:val="on"/>
          </m:naryPr>
          <m:sub>
            <m:r>
              <m:t>y∈U</m:t>
            </m:r>
          </m:sub>
          <m:sup/>
          <m:e>
            <m:r>
              <m:t>max(g(y),0)</m:t>
            </m:r>
          </m:e>
        </m:nary>
        <m:r>
          <m:t>P(y)</m:t>
        </m:r>
      </m:oMath>
      <w:r>
        <w:rPr>
          <w:rFonts w:ascii="Times New Roman" w:hAnsi="Times New Roman" w:eastAsia="宋体"/>
          <w:b w:val="0"/>
          <w:i w:val="0"/>
          <w:sz w:val="24"/>
        </w:rPr>
        <w:tab/>
      </w:r>
      <w:r>
        <w:rPr>
          <w:rFonts w:ascii="Times New Roman" w:hAnsi="Times New Roman" w:eastAsia="宋体"/>
          <w:b w:val="0"/>
          <w:i w:val="0"/>
          <w:sz w:val="24"/>
        </w:rPr>
        <w:t>(4-3)</w:t>
      </w:r>
    </w:p>
    <w:p>
      <w:pPr>
        <w:spacing w:line="360" w:lineRule="auto" w:after="120"/>
      </w:pPr>
      <w:r>
        <w:rPr>
          <w:rFonts w:ascii="Times New Roman" w:hAnsi="Times New Roman" w:eastAsia="宋体"/>
          <w:b w:val="0"/>
          <w:i w:val="0"/>
          <w:sz w:val="24"/>
        </w:rPr>
        <w:t>式(4-3)与原文式(4)同型，仅将静态 S_L 替换为动态 SL(t+L)。NV（水位 S0(t) 由式(3-7)给出）与 HEUR（本文新增，原文无双源设定）：</w:t>
      </w:r>
    </w:p>
    <w:p>
      <w:pPr>
        <w:tabs>
          <w:tab w:pos="4156" w:val="center"/>
          <w:tab w:pos="8311" w:val="right"/>
        </w:tabs>
        <w:spacing w:line="360" w:lineRule="auto" w:before="60" w:after="60"/>
      </w:pPr>
      <w:r>
        <w:rPr>
          <w:rFonts w:ascii="Times New Roman" w:hAnsi="Times New Roman" w:eastAsia="宋体"/>
          <w:b w:val="0"/>
          <w:i w:val="0"/>
          <w:sz w:val="24"/>
        </w:rPr>
        <w:tab/>
      </w:r>
      <m:oMath>
        <m:sSub>
          <m:e>
            <m:r>
              <m:t>q</m:t>
            </m:r>
          </m:e>
          <m:sub>
            <m:r>
              <m:t>2,NV</m:t>
            </m:r>
          </m:sub>
        </m:sSub>
        <m:r>
          <m:t>=max(S0(t)−I,</m:t>
        </m:r>
        <m:r>
          <m:t>0);</m:t>
        </m:r>
        <m:r>
          <m:rPr>
            <m:sty m:val="p"/>
          </m:rPr>
          <m:t>  </m:t>
        </m:r>
        <m:r>
          <m:t>HEUR:</m:t>
        </m:r>
        <m:r>
          <m:rPr>
            <m:sty m:val="p"/>
          </m:rPr>
          <m:t> </m:t>
        </m:r>
        <m:sSub>
          <m:e>
            <m:r>
              <m:t>q</m:t>
            </m:r>
          </m:e>
          <m:sub>
            <m:r>
              <m:t>1</m:t>
            </m:r>
          </m:sub>
        </m:sSub>
        <m:r>
          <m:t>=</m:t>
        </m:r>
        <m:sSub>
          <m:e>
            <m:r>
              <m:t>q</m:t>
            </m:r>
          </m:e>
          <m:sub>
            <m:r>
              <m:t>1,WNH</m:t>
            </m:r>
          </m:sub>
        </m:sSub>
        <m:r>
          <m:t>,</m:t>
        </m:r>
        <m:r>
          <m:rPr>
            <m:sty m:val="p"/>
          </m:rPr>
          <m:t> </m:t>
        </m:r>
        <m:sSub>
          <m:e>
            <m:r>
              <m:t>q</m:t>
            </m:r>
          </m:e>
          <m:sub>
            <m:r>
              <m:t>2</m:t>
            </m:r>
          </m:sub>
        </m:sSub>
        <m:r>
          <m:t>=</m:t>
        </m:r>
        <m:sSub>
          <m:e>
            <m:r>
              <m:t>q</m:t>
            </m:r>
          </m:e>
          <m:sub>
            <m:r>
              <m:t>2,NV</m:t>
            </m:r>
          </m:sub>
        </m:sSub>
      </m:oMath>
      <w:r>
        <w:rPr>
          <w:rFonts w:ascii="Times New Roman" w:hAnsi="Times New Roman" w:eastAsia="宋体"/>
          <w:b w:val="0"/>
          <w:i w:val="0"/>
          <w:sz w:val="24"/>
        </w:rPr>
        <w:tab/>
      </w:r>
      <w:r>
        <w:rPr>
          <w:rFonts w:ascii="Times New Roman" w:hAnsi="Times New Roman" w:eastAsia="宋体"/>
          <w:b w:val="0"/>
          <w:i w:val="0"/>
          <w:sz w:val="24"/>
        </w:rPr>
        <w:t>(4-4)</w:t>
      </w:r>
    </w:p>
    <w:p>
      <w:pPr>
        <w:pStyle w:val="Heading2"/>
      </w:pPr>
      <w:r>
        <w:t>4.2 融合启发式先验的单 Agent 双输出 DRL 架构（train_dual.py）</w:t>
      </w:r>
    </w:p>
    <w:p>
      <w:pPr>
        <w:spacing w:line="360" w:lineRule="auto" w:after="120"/>
      </w:pPr>
      <w:r>
        <w:rPr>
          <w:rFonts w:ascii="Times New Roman" w:hAnsi="Times New Roman" w:eastAsia="宋体"/>
          <w:b w:val="0"/>
          <w:i w:val="0"/>
          <w:sz w:val="24"/>
        </w:rPr>
        <w:t>网络主体为共享多层感知机：输入 x=[I_t, q_(t−L+1..t−1), sin, cos, t/T]（维度 L+3），隐藏层 [16,32,32]、激活 ReLU；输出头共 2^(L−1)×2＋1 个 logits：前 2^(L−1) 对用于常规渠道路径权重，最后 1 维用于应急缩放（L=2 时输入 5 维、输出 5 维）。常规渠道沿用原论文的策略骨架（原文式(6)(7)）：订货量为路径缺口的加权聚合</w:t>
      </w:r>
    </w:p>
    <w:p>
      <w:pPr>
        <w:tabs>
          <w:tab w:pos="4156" w:val="center"/>
          <w:tab w:pos="8311" w:val="right"/>
        </w:tabs>
        <w:spacing w:line="360" w:lineRule="auto" w:before="60" w:after="60"/>
      </w:pPr>
      <w:r>
        <w:rPr>
          <w:rFonts w:ascii="Times New Roman" w:hAnsi="Times New Roman" w:eastAsia="宋体"/>
          <w:b w:val="0"/>
          <w:i w:val="0"/>
          <w:sz w:val="24"/>
        </w:rPr>
        <w:tab/>
      </w:r>
      <m:oMath>
        <m:sSub>
          <m:e>
            <m:r>
              <m:t>q</m:t>
            </m:r>
          </m:e>
          <m:sub>
            <m:r>
              <m:t>1</m:t>
            </m:r>
          </m:sub>
        </m:sSub>
        <m:r>
          <m:t>=</m:t>
        </m:r>
        <m:nary>
          <m:naryPr>
            <m:chr m:val="∑"/>
            <m:limLoc m:val="subSup"/>
            <m:grow m:val="1"/>
            <m:subHide m:val="off"/>
            <m:supHide m:val="on"/>
          </m:naryPr>
          <m:sub>
            <m:r>
              <m:t>j</m:t>
            </m:r>
          </m:sub>
          <m:sup/>
          <m:e>
            <m:sSub>
              <m:e>
                <m:limUpp>
                  <m:e>
                    <m:r>
                      <m:t>w</m:t>
                    </m:r>
                  </m:e>
                  <m:lim>
                    <m:r>
                      <m:t>~</m:t>
                    </m:r>
                  </m:lim>
                </m:limUpp>
              </m:e>
              <m:sub>
                <m:r>
                  <m:t>j</m:t>
                </m:r>
              </m:sub>
            </m:sSub>
          </m:e>
        </m:nary>
        <m:r>
          <m:t>max</m:t>
        </m:r>
        <m:d>
          <m:dPr>
            <m:sepChr m:val=""/>
          </m:dPr>
          <m:e>
            <m:r>
              <m:t>S</m:t>
            </m:r>
            <m:r>
              <m:t>L</m:t>
            </m:r>
            <m:r>
              <m:t>(</m:t>
            </m:r>
            <m:r>
              <m:t>t</m:t>
            </m:r>
            <m:r>
              <m:t>+</m:t>
            </m:r>
            <m:r>
              <m:t>L</m:t>
            </m:r>
            <m:r>
              <m:t>)</m:t>
            </m:r>
            <m:r>
              <m:t>−</m:t>
            </m:r>
            <m:r>
              <m:t>I</m:t>
            </m:r>
            <m:r>
              <m:t>−</m:t>
            </m:r>
            <m:nary>
              <m:naryPr>
                <m:chr m:val="∑"/>
                <m:limLoc m:val="subSup"/>
                <m:grow m:val="1"/>
                <m:subHide m:val="off"/>
                <m:supHide m:val="on"/>
              </m:naryPr>
              <m:sub>
                <m:r>
                  <m:t>i</m:t>
                </m:r>
              </m:sub>
              <m:sup/>
              <m:e>
                <m:sSub>
                  <m:e>
                    <m:r>
                      <m:t>q</m:t>
                    </m:r>
                  </m:e>
                  <m:sub>
                    <m:r>
                      <m:t>i</m:t>
                    </m:r>
                  </m:sub>
                </m:sSub>
              </m:e>
            </m:nary>
            <m:sSub>
              <m:e>
                <m:r>
                  <m:t>y</m:t>
                </m:r>
              </m:e>
              <m:sub>
                <m:r>
                  <m:t>j,i</m:t>
                </m:r>
              </m:sub>
            </m:sSub>
            <m:r>
              <m:t>,</m:t>
            </m:r>
            <m:r>
              <m:t>0</m:t>
            </m:r>
          </m:e>
        </m:d>
      </m:oMath>
      <w:r>
        <w:rPr>
          <w:rFonts w:ascii="Times New Roman" w:hAnsi="Times New Roman" w:eastAsia="宋体"/>
          <w:b w:val="0"/>
          <w:i w:val="0"/>
          <w:sz w:val="24"/>
        </w:rPr>
        <w:tab/>
      </w:r>
      <w:r>
        <w:rPr>
          <w:rFonts w:ascii="Times New Roman" w:hAnsi="Times New Roman" w:eastAsia="宋体"/>
          <w:b w:val="0"/>
          <w:i w:val="0"/>
          <w:sz w:val="24"/>
        </w:rPr>
        <w:t>(4-5)</w:t>
      </w:r>
    </w:p>
    <w:p>
      <w:pPr>
        <w:spacing w:line="360" w:lineRule="auto" w:after="120"/>
        <w:ind w:firstLine="480"/>
      </w:pPr>
      <w:r>
        <w:rPr>
          <w:rFonts w:ascii="Times New Roman" w:hAnsi="Times New Roman" w:eastAsia="宋体"/>
          <w:b w:val="0"/>
          <w:i w:val="0"/>
          <w:sz w:val="24"/>
        </w:rPr>
        <w:t>其中增广矩阵将 SL、I、q 线性拼装为各路径缺口，对应原文 Fig.2 的矩阵 A。三模块复合映射 ζ=ψ₃∘ψ₂∘ψ₁（原文式(8)-(10)）在本架构中的具体形式为：</w:t>
      </w:r>
    </w:p>
    <w:p>
      <w:pPr>
        <w:spacing w:line="360" w:lineRule="auto" w:after="120"/>
      </w:pPr>
      <w:r>
        <w:rPr>
          <w:rFonts w:ascii="Times New Roman" w:hAnsi="Times New Roman" w:eastAsia="宋体"/>
          <w:b w:val="0"/>
          <w:i w:val="0"/>
          <w:sz w:val="24"/>
        </w:rPr>
        <w:t>ψ₁：共享全连接网输出潜在权重矩阵（2^(L−1)×2）（原文式(8)）；ψ₂：行向 Softmax 得凸组合系数 η_j∈[0,1]（原文式(9)的行归一化）；ψ₃：与教师盒子 U=[w^WNH−δ, w^WNH+δ] 作 Hadamard 积后按行求和（原文式(9)），使有效权重严格落在盒内：</w:t>
      </w:r>
    </w:p>
    <w:p>
      <w:pPr>
        <w:tabs>
          <w:tab w:pos="4156" w:val="center"/>
          <w:tab w:pos="8311" w:val="right"/>
        </w:tabs>
        <w:spacing w:line="360" w:lineRule="auto" w:before="60" w:after="60"/>
      </w:pPr>
      <w:r>
        <w:rPr>
          <w:rFonts w:ascii="Times New Roman" w:hAnsi="Times New Roman" w:eastAsia="宋体"/>
          <w:b w:val="0"/>
          <w:i w:val="0"/>
          <w:sz w:val="24"/>
        </w:rPr>
        <w:tab/>
      </w:r>
      <m:oMath>
        <m:sSub>
          <m:e>
            <m:limUpp>
              <m:e>
                <m:r>
                  <m:t>w</m:t>
                </m:r>
              </m:e>
              <m:lim>
                <m:r>
                  <m:t>~</m:t>
                </m:r>
              </m:lim>
            </m:limUpp>
          </m:e>
          <m:sub>
            <m:r>
              <m:t>j</m:t>
            </m:r>
          </m:sub>
        </m:sSub>
        <m:r>
          <m:t>=</m:t>
        </m:r>
        <m:sSub>
          <m:e>
            <m:r>
              <m:t>η</m:t>
            </m:r>
          </m:e>
          <m:sub>
            <m:r>
              <m:t>j</m:t>
            </m:r>
          </m:sub>
        </m:sSub>
        <m:r>
          <m:t>(</m:t>
        </m:r>
        <m:sSub>
          <m:e>
            <m:r>
              <m:t>P</m:t>
            </m:r>
          </m:e>
          <m:sub>
            <m:r>
              <m:t>j</m:t>
            </m:r>
          </m:sub>
        </m:sSub>
        <m:r>
          <m:t>+Δ)+(1−</m:t>
        </m:r>
        <m:sSub>
          <m:e>
            <m:r>
              <m:t>η</m:t>
            </m:r>
          </m:e>
          <m:sub>
            <m:r>
              <m:t>j</m:t>
            </m:r>
          </m:sub>
        </m:sSub>
        <m:r>
          <m:t>)(</m:t>
        </m:r>
        <m:sSub>
          <m:e>
            <m:r>
              <m:t>P</m:t>
            </m:r>
          </m:e>
          <m:sub>
            <m:r>
              <m:t>j</m:t>
            </m:r>
          </m:sub>
        </m:sSub>
        <m:r>
          <m:t>−Δ)∈[</m:t>
        </m:r>
        <m:sSub>
          <m:e>
            <m:r>
              <m:t>P</m:t>
            </m:r>
          </m:e>
          <m:sub>
            <m:r>
              <m:t>j</m:t>
            </m:r>
          </m:sub>
        </m:sSub>
        <m:r>
          <m:t>−Δ,</m:t>
        </m:r>
        <m:r>
          <m:rPr>
            <m:sty m:val="p"/>
          </m:rPr>
          <m:t> </m:t>
        </m:r>
        <m:sSub>
          <m:e>
            <m:r>
              <m:t>P</m:t>
            </m:r>
          </m:e>
          <m:sub>
            <m:r>
              <m:t>j</m:t>
            </m:r>
          </m:sub>
        </m:sSub>
        <m:r>
          <m:t>+Δ</m:t>
        </m:r>
        <m:r>
          <m:t>],</m:t>
        </m:r>
        <m:r>
          <m:rPr>
            <m:sty m:val="p"/>
          </m:rPr>
          <m:t>  </m:t>
        </m:r>
        <m:r>
          <m:t>Δ=BASE</m:t>
        </m:r>
        <m:rad>
          <m:radPr>
            <m:degHide m:val="on"/>
          </m:radPr>
          <m:deg/>
          <m:e>
            <m:f>
              <m:fPr>
                <m:type m:val="bar"/>
              </m:fPr>
              <m:num>
                <m:r>
                  <m:t>2</m:t>
                </m:r>
              </m:num>
              <m:den>
                <m:sSup>
                  <m:e>
                    <m:r>
                      <m:t>2</m:t>
                    </m:r>
                  </m:e>
                  <m:sup>
                    <m:r>
                      <m:t>L−1</m:t>
                    </m:r>
                  </m:sup>
                </m:sSup>
              </m:den>
            </m:f>
          </m:e>
        </m:rad>
        <m:r>
          <m:t>,</m:t>
        </m:r>
        <m:r>
          <m:rPr>
            <m:sty m:val="p"/>
          </m:rPr>
          <m:t>  </m:t>
        </m:r>
        <m:r>
          <m:t>BASE=0.25</m:t>
        </m:r>
      </m:oMath>
      <w:r>
        <w:rPr>
          <w:rFonts w:ascii="Times New Roman" w:hAnsi="Times New Roman" w:eastAsia="宋体"/>
          <w:b w:val="0"/>
          <w:i w:val="0"/>
          <w:sz w:val="24"/>
        </w:rPr>
        <w:tab/>
      </w:r>
      <w:r>
        <w:rPr>
          <w:rFonts w:ascii="Times New Roman" w:hAnsi="Times New Roman" w:eastAsia="宋体"/>
          <w:b w:val="0"/>
          <w:i w:val="0"/>
          <w:sz w:val="24"/>
        </w:rPr>
        <w:t>(4-6)</w:t>
      </w:r>
    </w:p>
    <w:p>
      <w:pPr>
        <w:spacing w:line="360" w:lineRule="auto" w:after="120"/>
      </w:pPr>
      <w:r>
        <w:rPr>
          <w:rFonts w:ascii="Times New Roman" w:hAnsi="Times New Roman" w:eastAsia="宋体"/>
          <w:b w:val="0"/>
          <w:i w:val="0"/>
          <w:sz w:val="24"/>
        </w:rPr>
        <w:t>应急渠道头（本文新增）：单维 logit 经 tanh 映射为报童水位的邻域缩放因子（EPS_Q2=ε=0.5）：</w:t>
      </w:r>
    </w:p>
    <w:p>
      <w:pPr>
        <w:tabs>
          <w:tab w:pos="4156" w:val="center"/>
          <w:tab w:pos="8311" w:val="right"/>
        </w:tabs>
        <w:spacing w:line="360" w:lineRule="auto" w:before="60" w:after="60"/>
      </w:pPr>
      <w:r>
        <w:rPr>
          <w:rFonts w:ascii="Times New Roman" w:hAnsi="Times New Roman" w:eastAsia="宋体"/>
          <w:b w:val="0"/>
          <w:i w:val="0"/>
          <w:sz w:val="24"/>
        </w:rPr>
        <w:tab/>
      </w:r>
      <m:oMath>
        <m:r>
          <m:t>f=1+ε</m:t>
        </m:r>
        <m:r>
          <m:rPr>
            <m:sty m:val="p"/>
          </m:rPr>
          <m:t>tanh</m:t>
        </m:r>
        <m:r>
          <m:t>(u)∈[1−ε,</m:t>
        </m:r>
        <m:r>
          <m:t>1+ε],</m:t>
        </m:r>
        <m:r>
          <m:rPr>
            <m:sty m:val="p"/>
          </m:rPr>
          <m:t>  </m:t>
        </m:r>
        <m:sSub>
          <m:e>
            <m:r>
              <m:t>q</m:t>
            </m:r>
          </m:e>
          <m:sub>
            <m:r>
              <m:t>2</m:t>
            </m:r>
          </m:sub>
        </m:sSub>
        <m:r>
          <m:t>=f·max(S0(t)−I,0)</m:t>
        </m:r>
      </m:oMath>
      <w:r>
        <w:rPr>
          <w:rFonts w:ascii="Times New Roman" w:hAnsi="Times New Roman" w:eastAsia="宋体"/>
          <w:b w:val="0"/>
          <w:i w:val="0"/>
          <w:sz w:val="24"/>
        </w:rPr>
        <w:tab/>
      </w:r>
      <w:r>
        <w:rPr>
          <w:rFonts w:ascii="Times New Roman" w:hAnsi="Times New Roman" w:eastAsia="宋体"/>
          <w:b w:val="0"/>
          <w:i w:val="0"/>
          <w:sz w:val="24"/>
        </w:rPr>
        <w:t>(4-7)</w:t>
      </w:r>
    </w:p>
    <w:p>
      <w:pPr>
        <w:spacing w:line="360" w:lineRule="auto" w:after="120"/>
        <w:ind w:firstLine="480"/>
      </w:pPr>
      <w:r>
        <w:rPr>
          <w:rFonts w:ascii="Times New Roman" w:hAnsi="Times New Roman" w:eastAsia="宋体"/>
          <w:b w:val="0"/>
          <w:i w:val="0"/>
          <w:sz w:val="24"/>
        </w:rPr>
        <w:t>架构动机与原文一致的三点：（1）初始化即近似可行良策——输出落在教师邻域内，训练起点接近 HEUR 而非随机策略；（2）受限探索——搜索空间压缩至先验可信区域，抑制高方差震荡（原文称“压缩至以 w^WNH 为中心的 δ-超立方体”）；（3）结构保义——保留路径加权与报童阈值的经济学结构，网络学习的是“教师附近的最优偏移”。</w:t>
      </w:r>
    </w:p>
    <w:p>
      <w:pPr>
        <w:spacing w:line="360" w:lineRule="auto" w:after="40"/>
      </w:pPr>
      <w:r>
        <w:rPr>
          <w:rFonts w:ascii="Times New Roman" w:hAnsi="Times New Roman" w:eastAsia="宋体"/>
          <w:b/>
          <w:i w:val="0"/>
          <w:sz w:val="24"/>
        </w:rPr>
        <w:t>注记4.1（权重边界参数化：能量归一化 Δ 与原文标量 δ 的关系）。</w:t>
      </w:r>
    </w:p>
    <w:p>
      <w:pPr>
        <w:spacing w:line="360" w:lineRule="auto" w:after="160"/>
        <w:ind w:firstLine="480"/>
      </w:pPr>
      <w:r>
        <w:rPr>
          <w:rFonts w:ascii="Times New Roman" w:hAnsi="Times New Roman" w:eastAsia="宋体"/>
          <w:b w:val="0"/>
          <w:i w:val="0"/>
          <w:sz w:val="24"/>
        </w:rPr>
        <w:t>原文人工调参 δ：L=2,3 时取 0.25，L=5 时取 0.0884（原文 5.1 节）。本文将其形式化为能量归一化规则 Δ=BASE·√(2/2^(L−1))，使全部路径扰动的平方和 Σ_j Δ² ≤ BASE²（与路径数无关的总扰动能量上界）。该规则在 L=5 处精确复现原文精调值 0.0884，可视为对其调参规律的形式化推广；L=2 处本文取 Δ≈0.354 宽于原文 0.25——单路径情形下扰动集中于唯一路径，需更大半径维持同等探索能力，从而免除逐 L 手工调参。</w:t>
      </w:r>
    </w:p>
    <w:p>
      <w:pPr>
        <w:spacing w:line="360" w:lineRule="auto" w:after="40"/>
      </w:pPr>
      <w:r>
        <w:rPr>
          <w:rFonts w:ascii="Times New Roman" w:hAnsi="Times New Roman" w:eastAsia="宋体"/>
          <w:b/>
          <w:i w:val="0"/>
          <w:sz w:val="24"/>
        </w:rPr>
        <w:t>注记4.2（引入应急头后的凸性讨论（诚实声明））。</w:t>
      </w:r>
    </w:p>
    <w:p>
      <w:pPr>
        <w:spacing w:line="360" w:lineRule="auto" w:after="160"/>
        <w:ind w:firstLine="480"/>
      </w:pPr>
      <w:r>
        <w:rPr>
          <w:rFonts w:ascii="Times New Roman" w:hAnsi="Times New Roman" w:eastAsia="宋体"/>
          <w:b w:val="0"/>
          <w:i w:val="0"/>
          <w:sz w:val="24"/>
        </w:rPr>
        <w:t>常规渠道输出保持原文 Proposition 1 / Corollary 1 的复合仿射结构：给定状态，F_t 对路径权重向量仍为凸，梯度搜索良态。但加入应急头后，整体目标对网络参数 θ 不再有已证凸性（softmax 与 tanh 均为非线性映射）。因此本文不依赖全局凸性保证，而以双重教师锚定压缩搜索空间并配合早停保障稳定——这与原文“凸性便利搜索＋约束稳定训练”的组合思路一脉相承，只是凸性的角色由“保证收敛”调整为“结构良态”。</w:t>
      </w:r>
    </w:p>
    <w:p>
      <w:pPr>
        <w:spacing w:line="360" w:lineRule="auto" w:after="40"/>
      </w:pPr>
      <w:r>
        <w:rPr>
          <w:rFonts w:ascii="Times New Roman" w:hAnsi="Times New Roman" w:eastAsia="宋体"/>
          <w:b/>
          <w:i w:val="0"/>
          <w:sz w:val="24"/>
        </w:rPr>
        <w:t>注记4.3（教师的升级：损失分母由 C_WNH 推广为 C_HEUR）。</w:t>
      </w:r>
    </w:p>
    <w:p>
      <w:pPr>
        <w:spacing w:line="360" w:lineRule="auto" w:after="160"/>
        <w:ind w:firstLine="480"/>
      </w:pPr>
      <w:r>
        <w:rPr>
          <w:rFonts w:ascii="Times New Roman" w:hAnsi="Times New Roman" w:eastAsia="宋体"/>
          <w:b w:val="0"/>
          <w:i w:val="0"/>
          <w:sz w:val="24"/>
        </w:rPr>
        <w:t>原文以 WNH 总成本 C_WNH 为相对损失分母（原文 4.4 节 G=exp((C_DRL−C_WNH)/C_WNH×100)）。双源场景下 WNH 仅覆盖常规渠道、不构成合理基准，本文将分母推广为联合启发式 HEUR 的成本 C_HEUR；损失的指数化动机（提供相对度量、平滑绝对成本波动、放大接近基准时的梯度）与原文两条论述完全一致。</w:t>
      </w:r>
    </w:p>
    <w:p>
      <w:pPr>
        <w:pStyle w:val="Heading2"/>
      </w:pPr>
      <w:r>
        <w:t>4.3 相对指数损失与训练算法</w:t>
      </w:r>
    </w:p>
    <w:p>
      <w:pPr>
        <w:spacing w:line="360" w:lineRule="auto" w:after="120"/>
      </w:pPr>
      <w:r>
        <w:rPr>
          <w:rFonts w:ascii="Times New Roman" w:hAnsi="Times New Roman" w:eastAsia="宋体"/>
          <w:b w:val="0"/>
          <w:i w:val="0"/>
          <w:sz w:val="24"/>
        </w:rPr>
        <w:t>以同批种子下 HEUR 的平均折扣总成本 C̄_HEUR 为分母，训练损失为：</w:t>
      </w:r>
    </w:p>
    <w:p>
      <w:pPr>
        <w:tabs>
          <w:tab w:pos="4156" w:val="center"/>
          <w:tab w:pos="8311" w:val="right"/>
        </w:tabs>
        <w:spacing w:line="360" w:lineRule="auto" w:before="60" w:after="60"/>
      </w:pPr>
      <w:r>
        <w:rPr>
          <w:rFonts w:ascii="Times New Roman" w:hAnsi="Times New Roman" w:eastAsia="宋体"/>
          <w:b w:val="0"/>
          <w:i w:val="0"/>
          <w:sz w:val="24"/>
        </w:rPr>
        <w:tab/>
      </w:r>
      <m:oMath>
        <m:r>
          <m:t>ℒ=</m:t>
        </m:r>
        <m:r>
          <m:rPr>
            <m:sty m:val="p"/>
          </m:rPr>
          <m:t>exp</m:t>
        </m:r>
        <m:d>
          <m:dPr>
            <m:sepChr m:val="×"/>
          </m:dPr>
          <m:e>
            <m:d>
              <m:dPr>
                <m:sepChr m:val=""/>
              </m:dPr>
              <m:e>
                <m:sSub>
                  <m:e>
                    <m:bar>
                      <m:barPr>
                        <m:pos m:val="top"/>
                      </m:barPr>
                      <m:e>
                        <m:r>
                          <m:t>C</m:t>
                        </m:r>
                      </m:e>
                    </m:bar>
                  </m:e>
                  <m:sub>
                    <m:r>
                      <m:t>π</m:t>
                    </m:r>
                  </m:sub>
                </m:sSub>
                <m:r>
                  <m:t>/</m:t>
                </m:r>
                <m:sSub>
                  <m:e>
                    <m:bar>
                      <m:barPr>
                        <m:pos m:val="top"/>
                      </m:barPr>
                      <m:e>
                        <m:r>
                          <m:t>C</m:t>
                        </m:r>
                      </m:e>
                    </m:bar>
                  </m:e>
                  <m:sub>
                    <m:r>
                      <m:t>HEUR</m:t>
                    </m:r>
                  </m:sub>
                </m:sSub>
                <m:r>
                  <m:t>−</m:t>
                </m:r>
                <m:r>
                  <m:t>1</m:t>
                </m:r>
              </m:e>
            </m:d>
          </m:e>
          <m:e>
            <m:r>
              <m:t>100</m:t>
            </m:r>
          </m:e>
        </m:d>
      </m:oMath>
      <w:r>
        <w:rPr>
          <w:rFonts w:ascii="Times New Roman" w:hAnsi="Times New Roman" w:eastAsia="宋体"/>
          <w:b w:val="0"/>
          <w:i w:val="0"/>
          <w:sz w:val="24"/>
        </w:rPr>
        <w:tab/>
      </w:r>
      <w:r>
        <w:rPr>
          <w:rFonts w:ascii="Times New Roman" w:hAnsi="Times New Roman" w:eastAsia="宋体"/>
          <w:b w:val="0"/>
          <w:i w:val="0"/>
          <w:sz w:val="24"/>
        </w:rPr>
        <w:t>(4-8)</w:t>
      </w:r>
    </w:p>
    <w:p>
      <w:pPr>
        <w:spacing w:line="360" w:lineRule="auto" w:after="120"/>
        <w:ind w:firstLine="480"/>
      </w:pPr>
      <w:r>
        <w:rPr>
          <w:rFonts w:ascii="Times New Roman" w:hAnsi="Times New Roman" w:eastAsia="宋体"/>
          <w:b w:val="0"/>
          <w:i w:val="0"/>
          <w:sz w:val="24"/>
        </w:rPr>
        <w:t>优化器与学习率调度沿袭原文 5.1 节：Adam 初始学习率 0.003、逐回合指数衰减 0.98、下限 0.0001。训练制度上的差异及理由见表4-2：原论文采用全数据集 batch 梯度下降、500 episodes、上限 300 epochs；本文因教师锚定使早期即接近可行，改用小批量滚动（BATCH_SIZE=30，池 MAX_BATCH=200，来自 seed_train_500_2.json 前 200 对）并以三重早停取代固定轮数。</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fill="D9D9D9"/>
          </w:tcPr>
          <w:p>
            <w:pPr>
              <w:jc w:val="center"/>
            </w:pPr>
            <w:r>
              <w:rPr>
                <w:rFonts w:ascii="Times New Roman" w:hAnsi="Times New Roman" w:eastAsia="宋体"/>
                <w:b/>
                <w:i w:val="0"/>
                <w:sz w:val="21"/>
              </w:rPr>
              <w:t>超参数</w:t>
            </w:r>
          </w:p>
        </w:tc>
        <w:tc>
          <w:tcPr>
            <w:tcW w:type="dxa" w:w="2078"/>
            <w:shd w:val="clear" w:fill="D9D9D9"/>
          </w:tcPr>
          <w:p>
            <w:pPr>
              <w:jc w:val="center"/>
            </w:pPr>
            <w:r>
              <w:rPr>
                <w:rFonts w:ascii="Times New Roman" w:hAnsi="Times New Roman" w:eastAsia="宋体"/>
                <w:b/>
                <w:i w:val="0"/>
                <w:sz w:val="21"/>
              </w:rPr>
              <w:t>本文取值</w:t>
            </w:r>
          </w:p>
        </w:tc>
        <w:tc>
          <w:tcPr>
            <w:tcW w:type="dxa" w:w="2078"/>
            <w:shd w:val="clear" w:fill="D9D9D9"/>
          </w:tcPr>
          <w:p>
            <w:pPr>
              <w:jc w:val="center"/>
            </w:pPr>
            <w:r>
              <w:rPr>
                <w:rFonts w:ascii="Times New Roman" w:hAnsi="Times New Roman" w:eastAsia="宋体"/>
                <w:b/>
                <w:i w:val="0"/>
                <w:sz w:val="21"/>
              </w:rPr>
              <w:t>原论文取值</w:t>
            </w:r>
          </w:p>
        </w:tc>
        <w:tc>
          <w:tcPr>
            <w:tcW w:type="dxa" w:w="2078"/>
            <w:shd w:val="clear" w:fill="D9D9D9"/>
          </w:tcPr>
          <w:p>
            <w:pPr>
              <w:jc w:val="center"/>
            </w:pPr>
            <w:r>
              <w:rPr>
                <w:rFonts w:ascii="Times New Roman" w:hAnsi="Times New Roman" w:eastAsia="宋体"/>
                <w:b/>
                <w:i w:val="0"/>
                <w:sz w:val="21"/>
              </w:rPr>
              <w:t>差异理由</w:t>
            </w:r>
          </w:p>
        </w:tc>
      </w:tr>
      <w:tr>
        <w:tc>
          <w:tcPr>
            <w:tcW w:type="dxa" w:w="2078"/>
          </w:tcPr>
          <w:p>
            <w:pPr>
              <w:jc w:val="left"/>
            </w:pPr>
            <w:r>
              <w:rPr>
                <w:rFonts w:ascii="Times New Roman" w:hAnsi="Times New Roman" w:eastAsia="宋体"/>
                <w:b w:val="0"/>
                <w:i w:val="0"/>
                <w:sz w:val="21"/>
              </w:rPr>
              <w:t>隐藏层宽度</w:t>
            </w:r>
          </w:p>
        </w:tc>
        <w:tc>
          <w:tcPr>
            <w:tcW w:type="dxa" w:w="2078"/>
          </w:tcPr>
          <w:p>
            <w:pPr>
              <w:jc w:val="center"/>
            </w:pPr>
            <w:r>
              <w:rPr>
                <w:rFonts w:ascii="Times New Roman" w:hAnsi="Times New Roman" w:eastAsia="宋体"/>
                <w:b w:val="0"/>
                <w:i w:val="0"/>
                <w:sz w:val="21"/>
              </w:rPr>
              <w:t>[16, 32, 32]</w:t>
            </w:r>
          </w:p>
        </w:tc>
        <w:tc>
          <w:tcPr>
            <w:tcW w:type="dxa" w:w="2078"/>
          </w:tcPr>
          <w:p>
            <w:pPr>
              <w:jc w:val="center"/>
            </w:pPr>
            <w:r>
              <w:rPr>
                <w:rFonts w:ascii="Times New Roman" w:hAnsi="Times New Roman" w:eastAsia="宋体"/>
                <w:b w:val="0"/>
                <w:i w:val="0"/>
                <w:sz w:val="21"/>
              </w:rPr>
              <w:t>[8, 16, 16]</w:t>
            </w:r>
          </w:p>
        </w:tc>
        <w:tc>
          <w:tcPr>
            <w:tcW w:type="dxa" w:w="2078"/>
          </w:tcPr>
          <w:p>
            <w:pPr>
              <w:jc w:val="center"/>
            </w:pPr>
            <w:r>
              <w:rPr>
                <w:rFonts w:ascii="Times New Roman" w:hAnsi="Times New Roman" w:eastAsia="宋体"/>
                <w:b w:val="0"/>
                <w:i w:val="0"/>
                <w:sz w:val="21"/>
              </w:rPr>
              <w:t>双输出共享主干需更大容量</w:t>
            </w:r>
          </w:p>
        </w:tc>
      </w:tr>
      <w:tr>
        <w:tc>
          <w:tcPr>
            <w:tcW w:type="dxa" w:w="2078"/>
          </w:tcPr>
          <w:p>
            <w:pPr>
              <w:jc w:val="left"/>
            </w:pPr>
            <w:r>
              <w:rPr>
                <w:rFonts w:ascii="Times New Roman" w:hAnsi="Times New Roman" w:eastAsia="宋体"/>
                <w:b w:val="0"/>
                <w:i w:val="0"/>
                <w:sz w:val="21"/>
              </w:rPr>
              <w:t>最大回合数</w:t>
            </w:r>
          </w:p>
        </w:tc>
        <w:tc>
          <w:tcPr>
            <w:tcW w:type="dxa" w:w="2078"/>
          </w:tcPr>
          <w:p>
            <w:pPr>
              <w:jc w:val="center"/>
            </w:pPr>
            <w:r>
              <w:rPr>
                <w:rFonts w:ascii="Times New Roman" w:hAnsi="Times New Roman" w:eastAsia="宋体"/>
                <w:b w:val="0"/>
                <w:i w:val="0"/>
                <w:sz w:val="21"/>
              </w:rPr>
              <w:t>30（早停）</w:t>
            </w:r>
          </w:p>
        </w:tc>
        <w:tc>
          <w:tcPr>
            <w:tcW w:type="dxa" w:w="2078"/>
          </w:tcPr>
          <w:p>
            <w:pPr>
              <w:jc w:val="center"/>
            </w:pPr>
            <w:r>
              <w:rPr>
                <w:rFonts w:ascii="Times New Roman" w:hAnsi="Times New Roman" w:eastAsia="宋体"/>
                <w:b w:val="0"/>
                <w:i w:val="0"/>
                <w:sz w:val="21"/>
              </w:rPr>
              <w:t>500 episodes / ≤300 epochs</w:t>
            </w:r>
          </w:p>
        </w:tc>
        <w:tc>
          <w:tcPr>
            <w:tcW w:type="dxa" w:w="2078"/>
          </w:tcPr>
          <w:p>
            <w:pPr>
              <w:jc w:val="center"/>
            </w:pPr>
            <w:r>
              <w:rPr>
                <w:rFonts w:ascii="Times New Roman" w:hAnsi="Times New Roman" w:eastAsia="宋体"/>
                <w:b w:val="0"/>
                <w:i w:val="0"/>
                <w:sz w:val="21"/>
              </w:rPr>
              <w:t>锚定下收敛极快；中止规则防劣化</w:t>
            </w:r>
          </w:p>
        </w:tc>
      </w:tr>
      <w:tr>
        <w:tc>
          <w:tcPr>
            <w:tcW w:type="dxa" w:w="2078"/>
          </w:tcPr>
          <w:p>
            <w:pPr>
              <w:jc w:val="left"/>
            </w:pPr>
            <w:r>
              <w:rPr>
                <w:rFonts w:ascii="Times New Roman" w:hAnsi="Times New Roman" w:eastAsia="宋体"/>
                <w:b w:val="0"/>
                <w:i w:val="0"/>
                <w:sz w:val="21"/>
              </w:rPr>
              <w:t>批大小</w:t>
            </w:r>
          </w:p>
        </w:tc>
        <w:tc>
          <w:tcPr>
            <w:tcW w:type="dxa" w:w="2078"/>
          </w:tcPr>
          <w:p>
            <w:pPr>
              <w:jc w:val="center"/>
            </w:pPr>
            <w:r>
              <w:rPr>
                <w:rFonts w:ascii="Times New Roman" w:hAnsi="Times New Roman" w:eastAsia="宋体"/>
                <w:b w:val="0"/>
                <w:i w:val="0"/>
                <w:sz w:val="21"/>
              </w:rPr>
              <w:t>30，每 5 回合换批</w:t>
            </w:r>
          </w:p>
        </w:tc>
        <w:tc>
          <w:tcPr>
            <w:tcW w:type="dxa" w:w="2078"/>
          </w:tcPr>
          <w:p>
            <w:pPr>
              <w:jc w:val="center"/>
            </w:pPr>
            <w:r>
              <w:rPr>
                <w:rFonts w:ascii="Times New Roman" w:hAnsi="Times New Roman" w:eastAsia="宋体"/>
                <w:b w:val="0"/>
                <w:i w:val="0"/>
                <w:sz w:val="21"/>
              </w:rPr>
              <w:t>500（全数据集）</w:t>
            </w:r>
          </w:p>
        </w:tc>
        <w:tc>
          <w:tcPr>
            <w:tcW w:type="dxa" w:w="2078"/>
          </w:tcPr>
          <w:p>
            <w:pPr>
              <w:jc w:val="center"/>
            </w:pPr>
            <w:r>
              <w:rPr>
                <w:rFonts w:ascii="Times New Roman" w:hAnsi="Times New Roman" w:eastAsia="宋体"/>
                <w:b w:val="0"/>
                <w:i w:val="0"/>
                <w:sz w:val="21"/>
              </w:rPr>
              <w:t>滚动批增加梯度多样性、降方差</w:t>
            </w:r>
          </w:p>
        </w:tc>
      </w:tr>
      <w:tr>
        <w:tc>
          <w:tcPr>
            <w:tcW w:type="dxa" w:w="2078"/>
          </w:tcPr>
          <w:p>
            <w:pPr>
              <w:jc w:val="left"/>
            </w:pPr>
            <w:r>
              <w:rPr>
                <w:rFonts w:ascii="Times New Roman" w:hAnsi="Times New Roman" w:eastAsia="宋体"/>
                <w:b w:val="0"/>
                <w:i w:val="0"/>
                <w:sz w:val="21"/>
              </w:rPr>
              <w:t>权重盒半宽</w:t>
            </w:r>
          </w:p>
        </w:tc>
        <w:tc>
          <w:tcPr>
            <w:tcW w:type="dxa" w:w="2078"/>
          </w:tcPr>
          <w:p>
            <w:pPr>
              <w:jc w:val="center"/>
            </w:pPr>
            <w:r>
              <w:rPr>
                <w:rFonts w:ascii="Times New Roman" w:hAnsi="Times New Roman" w:eastAsia="宋体"/>
                <w:b w:val="0"/>
                <w:i w:val="0"/>
                <w:sz w:val="21"/>
              </w:rPr>
              <w:t>Δ=0.25·√(2/2^(L−1))</w:t>
            </w:r>
          </w:p>
        </w:tc>
        <w:tc>
          <w:tcPr>
            <w:tcW w:type="dxa" w:w="2078"/>
          </w:tcPr>
          <w:p>
            <w:pPr>
              <w:jc w:val="center"/>
            </w:pPr>
            <w:r>
              <w:rPr>
                <w:rFonts w:ascii="Times New Roman" w:hAnsi="Times New Roman" w:eastAsia="宋体"/>
                <w:b w:val="0"/>
                <w:i w:val="0"/>
                <w:sz w:val="21"/>
              </w:rPr>
              <w:t>δ=0.25（L=2,3）/ 0.0884（L=5）</w:t>
            </w:r>
          </w:p>
        </w:tc>
        <w:tc>
          <w:tcPr>
            <w:tcW w:type="dxa" w:w="2078"/>
          </w:tcPr>
          <w:p>
            <w:pPr>
              <w:jc w:val="center"/>
            </w:pPr>
            <w:r>
              <w:rPr>
                <w:rFonts w:ascii="Times New Roman" w:hAnsi="Times New Roman" w:eastAsia="宋体"/>
                <w:b w:val="0"/>
                <w:i w:val="0"/>
                <w:sz w:val="21"/>
              </w:rPr>
              <w:t>注记4.1</w:t>
            </w:r>
          </w:p>
        </w:tc>
      </w:tr>
      <w:tr>
        <w:tc>
          <w:tcPr>
            <w:tcW w:type="dxa" w:w="2078"/>
          </w:tcPr>
          <w:p>
            <w:pPr>
              <w:jc w:val="left"/>
            </w:pPr>
            <w:r>
              <w:rPr>
                <w:rFonts w:ascii="Times New Roman" w:hAnsi="Times New Roman" w:eastAsia="宋体"/>
                <w:b w:val="0"/>
                <w:i w:val="0"/>
                <w:sz w:val="21"/>
              </w:rPr>
              <w:t>早停（收敛）</w:t>
            </w:r>
          </w:p>
        </w:tc>
        <w:tc>
          <w:tcPr>
            <w:tcW w:type="dxa" w:w="2078"/>
          </w:tcPr>
          <w:p>
            <w:pPr>
              <w:jc w:val="center"/>
            </w:pPr>
            <w:r>
              <w:rPr>
                <w:rFonts w:ascii="Times New Roman" w:hAnsi="Times New Roman" w:eastAsia="宋体"/>
                <w:b w:val="0"/>
                <w:i w:val="0"/>
                <w:sz w:val="21"/>
              </w:rPr>
              <w:t>相邻两回合成差距改善 &lt; 0.02 个百分点（第 ≥3 回合起）</w:t>
            </w:r>
          </w:p>
        </w:tc>
        <w:tc>
          <w:tcPr>
            <w:tcW w:type="dxa" w:w="2078"/>
          </w:tcPr>
          <w:p>
            <w:pPr>
              <w:jc w:val="center"/>
            </w:pPr>
            <w:r>
              <w:rPr>
                <w:rFonts w:ascii="Times New Roman" w:hAnsi="Times New Roman" w:eastAsia="宋体"/>
                <w:b w:val="0"/>
                <w:i w:val="0"/>
                <w:sz w:val="21"/>
              </w:rPr>
              <w:t>达到上限为止</w:t>
            </w:r>
          </w:p>
        </w:tc>
        <w:tc>
          <w:tcPr>
            <w:tcW w:type="dxa" w:w="2078"/>
          </w:tcPr>
          <w:p>
            <w:pPr>
              <w:jc w:val="center"/>
            </w:pPr>
            <w:r>
              <w:rPr>
                <w:rFonts w:ascii="Times New Roman" w:hAnsi="Times New Roman" w:eastAsia="宋体"/>
                <w:b w:val="0"/>
                <w:i w:val="0"/>
                <w:sz w:val="21"/>
              </w:rPr>
              <w:t>避免过训与时间浪费</w:t>
            </w:r>
          </w:p>
        </w:tc>
      </w:tr>
      <w:tr>
        <w:tc>
          <w:tcPr>
            <w:tcW w:type="dxa" w:w="2078"/>
          </w:tcPr>
          <w:p>
            <w:pPr>
              <w:jc w:val="left"/>
            </w:pPr>
            <w:r>
              <w:rPr>
                <w:rFonts w:ascii="Times New Roman" w:hAnsi="Times New Roman" w:eastAsia="宋体"/>
                <w:b w:val="0"/>
                <w:i w:val="0"/>
                <w:sz w:val="21"/>
              </w:rPr>
              <w:t>早停（中止）</w:t>
            </w:r>
          </w:p>
        </w:tc>
        <w:tc>
          <w:tcPr>
            <w:tcW w:type="dxa" w:w="2078"/>
          </w:tcPr>
          <w:p>
            <w:pPr>
              <w:jc w:val="center"/>
            </w:pPr>
            <w:r>
              <w:rPr>
                <w:rFonts w:ascii="Times New Roman" w:hAnsi="Times New Roman" w:eastAsia="宋体"/>
                <w:b w:val="0"/>
                <w:i w:val="0"/>
                <w:sz w:val="21"/>
              </w:rPr>
              <w:t>首集 gap&gt;5%；或任一集劣于上集；或第 ≥6 集仍未跑赢基准</w:t>
            </w:r>
          </w:p>
        </w:tc>
        <w:tc>
          <w:tcPr>
            <w:tcW w:type="dxa" w:w="2078"/>
          </w:tcPr>
          <w:p>
            <w:pPr>
              <w:jc w:val="center"/>
            </w:pPr>
            <w:r>
              <w:rPr>
                <w:rFonts w:ascii="Times New Roman" w:hAnsi="Times New Roman" w:eastAsia="宋体"/>
                <w:b w:val="0"/>
                <w:i w:val="0"/>
                <w:sz w:val="21"/>
              </w:rPr>
              <w:t>无</w:t>
            </w:r>
          </w:p>
        </w:tc>
        <w:tc>
          <w:tcPr>
            <w:tcW w:type="dxa" w:w="2078"/>
          </w:tcPr>
          <w:p>
            <w:pPr>
              <w:jc w:val="center"/>
            </w:pPr>
            <w:r>
              <w:rPr>
                <w:rFonts w:ascii="Times New Roman" w:hAnsi="Times New Roman" w:eastAsia="宋体"/>
                <w:b w:val="0"/>
                <w:i w:val="0"/>
                <w:sz w:val="21"/>
              </w:rPr>
              <w:t>学不出优势的样本及时放弃</w:t>
            </w:r>
          </w:p>
        </w:tc>
      </w:tr>
      <w:tr>
        <w:tc>
          <w:tcPr>
            <w:tcW w:type="dxa" w:w="2078"/>
          </w:tcPr>
          <w:p>
            <w:pPr>
              <w:jc w:val="left"/>
            </w:pPr>
            <w:r>
              <w:rPr>
                <w:rFonts w:ascii="Times New Roman" w:hAnsi="Times New Roman" w:eastAsia="宋体"/>
                <w:b w:val="0"/>
                <w:i w:val="0"/>
                <w:sz w:val="21"/>
              </w:rPr>
              <w:t>损失</w:t>
            </w:r>
          </w:p>
        </w:tc>
        <w:tc>
          <w:tcPr>
            <w:tcW w:type="dxa" w:w="2078"/>
          </w:tcPr>
          <w:p>
            <w:pPr>
              <w:jc w:val="center"/>
            </w:pPr>
            <w:r>
              <w:rPr>
                <w:rFonts w:ascii="Times New Roman" w:hAnsi="Times New Roman" w:eastAsia="宋体"/>
                <w:b w:val="0"/>
                <w:i w:val="0"/>
                <w:sz w:val="21"/>
              </w:rPr>
              <w:t>ℒ=exp((C̄/C̄_HEUR−1)×100)</w:t>
            </w:r>
          </w:p>
        </w:tc>
        <w:tc>
          <w:tcPr>
            <w:tcW w:type="dxa" w:w="2078"/>
          </w:tcPr>
          <w:p>
            <w:pPr>
              <w:jc w:val="center"/>
            </w:pPr>
            <w:r>
              <w:rPr>
                <w:rFonts w:ascii="Times New Roman" w:hAnsi="Times New Roman" w:eastAsia="宋体"/>
                <w:b w:val="0"/>
                <w:i w:val="0"/>
                <w:sz w:val="21"/>
              </w:rPr>
              <w:t>G 同型，分母 C_WNH</w:t>
            </w:r>
          </w:p>
        </w:tc>
        <w:tc>
          <w:tcPr>
            <w:tcW w:type="dxa" w:w="2078"/>
          </w:tcPr>
          <w:p>
            <w:pPr>
              <w:jc w:val="center"/>
            </w:pPr>
            <w:r>
              <w:rPr>
                <w:rFonts w:ascii="Times New Roman" w:hAnsi="Times New Roman" w:eastAsia="宋体"/>
                <w:b w:val="0"/>
                <w:i w:val="0"/>
                <w:sz w:val="21"/>
              </w:rPr>
              <w:t>注记4.3</w:t>
            </w:r>
          </w:p>
        </w:tc>
      </w:tr>
    </w:tbl>
    <w:p>
      <w:pPr>
        <w:spacing w:after="0"/>
      </w:pPr>
    </w:p>
    <w:p>
      <w:pPr>
        <w:spacing w:line="288" w:lineRule="auto" w:before="80" w:after="120"/>
        <w:jc w:val="center"/>
      </w:pPr>
      <w:r>
        <w:rPr>
          <w:rFonts w:ascii="Times New Roman" w:hAnsi="Times New Roman" w:eastAsia="宋体"/>
          <w:b/>
          <w:i w:val="0"/>
          <w:sz w:val="21"/>
        </w:rPr>
        <w:t>表4-2 训练超参数对照（gap 定义为相对基准成本的百分比超额）</w:t>
      </w:r>
    </w:p>
    <w:p>
      <w:pPr>
        <w:spacing w:line="288" w:lineRule="auto" w:before="80" w:after="120"/>
        <w:jc w:val="center"/>
      </w:pPr>
      <w:r>
        <w:rPr>
          <w:rFonts w:ascii="Times New Roman" w:hAnsi="Times New Roman" w:eastAsia="宋体"/>
          <w:b/>
          <w:i w:val="0"/>
          <w:sz w:val="21"/>
        </w:rPr>
        <w:t>算法1 扩展 DRL 训练流程（结构对齐原文 Algorithm 1）</w:t>
      </w:r>
    </w:p>
    <w:tbl>
      <w:tblPr>
        <w:tblStyle w:val="TableGrid"/>
        <w:tblW w:type="auto" w:w="0"/>
        <w:tblLook w:firstColumn="1" w:firstRow="1" w:lastColumn="0" w:lastRow="0" w:noHBand="0" w:noVBand="1" w:val="04A0"/>
      </w:tblPr>
      <w:tblGrid>
        <w:gridCol w:w="8312"/>
      </w:tblGrid>
      <w:tr>
        <w:tc>
          <w:tcPr>
            <w:tcW w:type="dxa" w:w="8312"/>
          </w:tcPr>
          <w:p>
            <w:pPr>
              <w:spacing w:line="276" w:lineRule="auto"/>
            </w:pPr>
            <w:r>
              <w:rPr>
                <w:rFonts w:ascii="Courier New" w:hAnsi="Courier New" w:eastAsia="宋体"/>
                <w:b w:val="0"/>
                <w:i w:val="0"/>
                <w:sz w:val="19"/>
              </w:rPr>
              <w:t>输入: 参数组 para; 教师权重 P=Qt_WNH(para).P; 种子池 {(seed1_i, seed2_i)}, i&lt;MAX_BATCH</w:t>
            </w:r>
          </w:p>
          <w:p>
            <w:pPr>
              <w:spacing w:line="276" w:lineRule="auto"/>
            </w:pPr>
            <w:r>
              <w:rPr>
                <w:rFonts w:ascii="Courier New" w:hAnsi="Courier New" w:eastAsia="宋体"/>
                <w:b w:val="0"/>
                <w:i w:val="0"/>
                <w:sz w:val="19"/>
              </w:rPr>
              <w:t>1: 初始化策略网络 ζ_θ（共享MLP＋双输出头; 权重边界 [P−Δ, P+Δ]）; Adam(lr=3e-3); StepLR(γ=0.98)</w:t>
            </w:r>
          </w:p>
          <w:p>
            <w:pPr>
              <w:spacing w:line="276" w:lineRule="auto"/>
            </w:pPr>
            <w:r>
              <w:rPr>
                <w:rFonts w:ascii="Courier New" w:hAnsi="Courier New" w:eastAsia="宋体"/>
                <w:b w:val="0"/>
                <w:i w:val="0"/>
                <w:sz w:val="19"/>
              </w:rPr>
              <w:t>2: repeat</w:t>
            </w:r>
          </w:p>
          <w:p>
            <w:pPr>
              <w:spacing w:line="276" w:lineRule="auto"/>
            </w:pPr>
            <w:r>
              <w:rPr>
                <w:rFonts w:ascii="Courier New" w:hAnsi="Courier New" w:eastAsia="宋体"/>
                <w:b w:val="0"/>
                <w:i w:val="0"/>
                <w:sz w:val="19"/>
              </w:rPr>
              <w:t>3:   if episode ≡ 1 (mod LOSS_STEP): 在当前训练批上重算 C̄_HEUR; 更换训练批(BATCH_SIZE/MAX_BATCH)</w:t>
            </w:r>
          </w:p>
          <w:p>
            <w:pPr>
              <w:spacing w:line="276" w:lineRule="auto"/>
            </w:pPr>
            <w:r>
              <w:rPr>
                <w:rFonts w:ascii="Courier New" w:hAnsi="Courier New" w:eastAsia="宋体"/>
                <w:b w:val="0"/>
                <w:i w:val="0"/>
                <w:sz w:val="19"/>
              </w:rPr>
              <w:t>4:   for 批内每个种子对 do</w:t>
            </w:r>
          </w:p>
          <w:p>
            <w:pPr>
              <w:spacing w:line="276" w:lineRule="auto"/>
            </w:pPr>
            <w:r>
              <w:rPr>
                <w:rFonts w:ascii="Courier New" w:hAnsi="Courier New" w:eastAsia="宋体"/>
                <w:b w:val="0"/>
                <w:i w:val="0"/>
                <w:sz w:val="19"/>
              </w:rPr>
              <w:t>5:     env.reset(seed1, seed2)  # I₀=0, 管道清空; 预生成需求/良率序列</w:t>
            </w:r>
          </w:p>
          <w:p>
            <w:pPr>
              <w:spacing w:line="276" w:lineRule="auto"/>
            </w:pPr>
            <w:r>
              <w:rPr>
                <w:rFonts w:ascii="Courier New" w:hAnsi="Courier New" w:eastAsia="宋体"/>
                <w:b w:val="0"/>
                <w:i w:val="0"/>
                <w:sz w:val="19"/>
              </w:rPr>
              <w:t>6:     for t = 0 : T−1 do</w:t>
            </w:r>
          </w:p>
          <w:p>
            <w:pPr>
              <w:spacing w:line="276" w:lineRule="auto"/>
            </w:pPr>
            <w:r>
              <w:rPr>
                <w:rFonts w:ascii="Courier New" w:hAnsi="Courier New" w:eastAsia="宋体"/>
                <w:b w:val="0"/>
                <w:i w:val="0"/>
                <w:sz w:val="19"/>
              </w:rPr>
              <w:t>7:       由 ζ_θ(s_t) 得 (w̃, f); 按 式(4-5)(4-7) 计算 (q1, q2)   # 对应原文第7-8行</w:t>
            </w:r>
          </w:p>
          <w:p>
            <w:pPr>
              <w:spacing w:line="276" w:lineRule="auto"/>
            </w:pPr>
            <w:r>
              <w:rPr>
                <w:rFonts w:ascii="Courier New" w:hAnsi="Courier New" w:eastAsia="宋体"/>
                <w:b w:val="0"/>
                <w:i w:val="0"/>
                <w:sz w:val="19"/>
              </w:rPr>
              <w:t>8:       env.step → 观测成本 C_t 与下一状态 s_{t+1}            # 对应原文第9-10行</w:t>
            </w:r>
          </w:p>
          <w:p>
            <w:pPr>
              <w:spacing w:line="276" w:lineRule="auto"/>
            </w:pPr>
            <w:r>
              <w:rPr>
                <w:rFonts w:ascii="Courier New" w:hAnsi="Courier New" w:eastAsia="宋体"/>
                <w:b w:val="0"/>
                <w:i w:val="0"/>
                <w:sz w:val="19"/>
              </w:rPr>
              <w:t>9:     end for</w:t>
            </w:r>
          </w:p>
          <w:p>
            <w:pPr>
              <w:spacing w:line="276" w:lineRule="auto"/>
            </w:pPr>
            <w:r>
              <w:rPr>
                <w:rFonts w:ascii="Courier New" w:hAnsi="Courier New" w:eastAsia="宋体"/>
                <w:b w:val="0"/>
                <w:i w:val="0"/>
                <w:sz w:val="19"/>
              </w:rPr>
              <w:t>10:  end for</w:t>
            </w:r>
          </w:p>
          <w:p>
            <w:pPr>
              <w:spacing w:line="276" w:lineRule="auto"/>
            </w:pPr>
            <w:r>
              <w:rPr>
                <w:rFonts w:ascii="Courier New" w:hAnsi="Courier New" w:eastAsia="宋体"/>
                <w:b w:val="0"/>
                <w:i w:val="0"/>
                <w:sz w:val="19"/>
              </w:rPr>
              <w:t>11:  ℒ ← exp((C̄_π/C̄_HEUR−1)×100); 反向传播; Adam.step; lr&gt;1e-4 时衰减   # 对应原文第13行</w:t>
            </w:r>
          </w:p>
          <w:p>
            <w:pPr>
              <w:spacing w:line="276" w:lineRule="auto"/>
            </w:pPr>
            <w:r>
              <w:rPr>
                <w:rFonts w:ascii="Courier New" w:hAnsi="Courier New" w:eastAsia="宋体"/>
                <w:b w:val="0"/>
                <w:i w:val="0"/>
                <w:sz w:val="19"/>
              </w:rPr>
              <w:t>12:  按 表4-2 三重早停判停（成功收敛 或 中止放弃）</w:t>
            </w:r>
          </w:p>
          <w:p>
            <w:pPr>
              <w:spacing w:line="276" w:lineRule="auto"/>
            </w:pPr>
            <w:r>
              <w:rPr>
                <w:rFonts w:ascii="Courier New" w:hAnsi="Courier New" w:eastAsia="宋体"/>
                <w:b w:val="0"/>
                <w:i w:val="0"/>
                <w:sz w:val="19"/>
              </w:rPr>
              <w:t>13: until 达 MAX_EPISODES 或触发早停</w:t>
            </w:r>
          </w:p>
          <w:p>
            <w:pPr>
              <w:spacing w:line="276" w:lineRule="auto"/>
            </w:pPr>
            <w:r>
              <w:rPr>
                <w:rFonts w:ascii="Courier New" w:hAnsi="Courier New" w:eastAsia="宋体"/>
                <w:b w:val="0"/>
                <w:i w:val="0"/>
                <w:sz w:val="19"/>
              </w:rPr>
              <w:t>输出: model_dual_sample{id}.pth 与 losses/costs 曲线数据</w:t>
            </w:r>
          </w:p>
        </w:tc>
      </w:tr>
    </w:tbl>
    <w:p>
      <w:pPr>
        <w:spacing w:after="0"/>
      </w:pPr>
    </w:p>
    <w:p>
      <w:pPr>
        <w:pStyle w:val="Heading2"/>
      </w:pPr>
      <w:r>
        <w:t>4.4 同种子蒙特卡洛评估协议</w:t>
      </w:r>
    </w:p>
    <w:p>
      <w:pPr>
        <w:spacing w:line="360" w:lineRule="auto" w:after="120"/>
        <w:ind w:firstLine="480"/>
      </w:pPr>
      <w:r>
        <w:rPr>
          <w:rFonts w:ascii="Times New Roman" w:hAnsi="Times New Roman" w:eastAsia="宋体"/>
          <w:b w:val="0"/>
          <w:i w:val="0"/>
          <w:sz w:val="24"/>
        </w:rPr>
        <w:t>评估条款逐项对齐原文 5.1 节的公平性控制：（i）统一种子文件——扩展场景共用 seed_test_500_2.json（成对锁定需求与良率），基准场景用 seed_test_100_2.json；任何成本差异均来自策略本身而非抽样波动；（ii）统一环境内核——全部策略在同一 Model.test 动力学上仿真，仅决策函数不同；（iii）相同初始条件——初始库存为零、前 L 期无在途订单，与原文一致；（iv）确定性推理——Qt_DRL 经 load_pth 加载训练权重后在 torch.no_grad 下前向，不含探索噪声；（v）指标——N 个种子的平均折扣总成本、样本标准差与相对参考策略的成本差距。</w:t>
      </w:r>
    </w:p>
    <w:p>
      <w:pPr>
        <w:pStyle w:val="Heading1"/>
      </w:pPr>
      <w:r>
        <w:t>第五章 数值实验与结果分析</w:t>
      </w:r>
    </w:p>
    <w:p>
      <w:pPr>
        <w:pStyle w:val="Heading2"/>
      </w:pPr>
      <w:r>
        <w:t>5.1 实验平台与参数设置</w:t>
      </w:r>
    </w:p>
    <w:p>
      <w:pPr>
        <w:spacing w:line="360" w:lineRule="auto" w:after="120"/>
        <w:ind w:firstLine="480"/>
      </w:pPr>
      <w:r>
        <w:rPr>
          <w:rFonts w:ascii="Times New Roman" w:hAnsi="Times New Roman" w:eastAsia="宋体"/>
          <w:b w:val="0"/>
          <w:i w:val="0"/>
          <w:sz w:val="24"/>
        </w:rPr>
        <w:t>实验平台为 PyTorch CPU 环境（conda env inv_drl）。扩展实验参数网格见表5-1：季节性场景共 2(p)×2(b)×2(T)×3(A)=24 组参数组合，双源场景再乘以 2(c2) 共 48 组——该网格设计承袭原文 5.3 节 432 实例敏感性分析的多维梯度传统，并将其中“需求分布/提前期/规划期”维度替换为本文关注的“季节振幅/应急成本”维度。</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fill="D9D9D9"/>
          </w:tcPr>
          <w:p>
            <w:pPr>
              <w:jc w:val="center"/>
            </w:pPr>
            <w:r>
              <w:rPr>
                <w:rFonts w:ascii="Times New Roman" w:hAnsi="Times New Roman" w:eastAsia="宋体"/>
                <w:b/>
                <w:i w:val="0"/>
                <w:sz w:val="21"/>
              </w:rPr>
              <w:t>维度</w:t>
            </w:r>
          </w:p>
        </w:tc>
        <w:tc>
          <w:tcPr>
            <w:tcW w:type="dxa" w:w="2771"/>
            <w:shd w:val="clear" w:fill="D9D9D9"/>
          </w:tcPr>
          <w:p>
            <w:pPr>
              <w:jc w:val="center"/>
            </w:pPr>
            <w:r>
              <w:rPr>
                <w:rFonts w:ascii="Times New Roman" w:hAnsi="Times New Roman" w:eastAsia="宋体"/>
                <w:b/>
                <w:i w:val="0"/>
                <w:sz w:val="21"/>
              </w:rPr>
              <w:t>符号</w:t>
            </w:r>
          </w:p>
        </w:tc>
        <w:tc>
          <w:tcPr>
            <w:tcW w:type="dxa" w:w="2771"/>
            <w:shd w:val="clear" w:fill="D9D9D9"/>
          </w:tcPr>
          <w:p>
            <w:pPr>
              <w:jc w:val="center"/>
            </w:pPr>
            <w:r>
              <w:rPr>
                <w:rFonts w:ascii="Times New Roman" w:hAnsi="Times New Roman" w:eastAsia="宋体"/>
                <w:b/>
                <w:i w:val="0"/>
                <w:sz w:val="21"/>
              </w:rPr>
              <w:t>取值</w:t>
            </w:r>
          </w:p>
        </w:tc>
      </w:tr>
      <w:tr>
        <w:tc>
          <w:tcPr>
            <w:tcW w:type="dxa" w:w="2771"/>
          </w:tcPr>
          <w:p>
            <w:pPr>
              <w:jc w:val="left"/>
            </w:pPr>
            <w:r>
              <w:rPr>
                <w:rFonts w:ascii="Times New Roman" w:hAnsi="Times New Roman" w:eastAsia="宋体"/>
                <w:b w:val="0"/>
                <w:i w:val="0"/>
                <w:sz w:val="21"/>
              </w:rPr>
              <w:t>良率成功概率</w:t>
            </w:r>
          </w:p>
        </w:tc>
        <w:tc>
          <w:tcPr>
            <w:tcW w:type="dxa" w:w="2771"/>
          </w:tcPr>
          <w:p>
            <w:pPr>
              <w:jc w:val="center"/>
            </w:pPr>
            <w:r>
              <w:rPr>
                <w:rFonts w:ascii="Times New Roman" w:hAnsi="Times New Roman" w:eastAsia="宋体"/>
                <w:b w:val="0"/>
                <w:i w:val="0"/>
                <w:sz w:val="21"/>
              </w:rPr>
              <w:t>p</w:t>
            </w:r>
          </w:p>
        </w:tc>
        <w:tc>
          <w:tcPr>
            <w:tcW w:type="dxa" w:w="2771"/>
          </w:tcPr>
          <w:p>
            <w:pPr>
              <w:jc w:val="center"/>
            </w:pPr>
            <w:r>
              <w:rPr>
                <w:rFonts w:ascii="Times New Roman" w:hAnsi="Times New Roman" w:eastAsia="宋体"/>
                <w:b w:val="0"/>
                <w:i w:val="0"/>
                <w:sz w:val="21"/>
              </w:rPr>
              <w:t>{0.7, 0.9}</w:t>
            </w:r>
          </w:p>
        </w:tc>
      </w:tr>
      <w:tr>
        <w:tc>
          <w:tcPr>
            <w:tcW w:type="dxa" w:w="2771"/>
          </w:tcPr>
          <w:p>
            <w:pPr>
              <w:jc w:val="left"/>
            </w:pPr>
            <w:r>
              <w:rPr>
                <w:rFonts w:ascii="Times New Roman" w:hAnsi="Times New Roman" w:eastAsia="宋体"/>
                <w:b w:val="0"/>
                <w:i w:val="0"/>
                <w:sz w:val="21"/>
              </w:rPr>
              <w:t>服务水平（b/h）</w:t>
            </w:r>
          </w:p>
        </w:tc>
        <w:tc>
          <w:tcPr>
            <w:tcW w:type="dxa" w:w="2771"/>
          </w:tcPr>
          <w:p>
            <w:pPr>
              <w:jc w:val="center"/>
            </w:pPr>
            <w:r>
              <w:rPr>
                <w:rFonts w:ascii="Times New Roman" w:hAnsi="Times New Roman" w:eastAsia="宋体"/>
                <w:b w:val="0"/>
                <w:i w:val="0"/>
                <w:sz w:val="21"/>
              </w:rPr>
              <w:t>bbh</w:t>
            </w:r>
          </w:p>
        </w:tc>
        <w:tc>
          <w:tcPr>
            <w:tcW w:type="dxa" w:w="2771"/>
          </w:tcPr>
          <w:p>
            <w:pPr>
              <w:jc w:val="center"/>
            </w:pPr>
            <w:r>
              <w:rPr>
                <w:rFonts w:ascii="Times New Roman" w:hAnsi="Times New Roman" w:eastAsia="宋体"/>
                <w:b w:val="0"/>
                <w:i w:val="0"/>
                <w:sz w:val="21"/>
              </w:rPr>
              <w:t>{0.85, 0.95} → b∈{5.6667, 19}</w:t>
            </w:r>
          </w:p>
        </w:tc>
      </w:tr>
      <w:tr>
        <w:tc>
          <w:tcPr>
            <w:tcW w:type="dxa" w:w="2771"/>
          </w:tcPr>
          <w:p>
            <w:pPr>
              <w:jc w:val="left"/>
            </w:pPr>
            <w:r>
              <w:rPr>
                <w:rFonts w:ascii="Times New Roman" w:hAnsi="Times New Roman" w:eastAsia="宋体"/>
                <w:b w:val="0"/>
                <w:i w:val="0"/>
                <w:sz w:val="21"/>
              </w:rPr>
              <w:t>规划期</w:t>
            </w:r>
          </w:p>
        </w:tc>
        <w:tc>
          <w:tcPr>
            <w:tcW w:type="dxa" w:w="2771"/>
          </w:tcPr>
          <w:p>
            <w:pPr>
              <w:jc w:val="center"/>
            </w:pPr>
            <w:r>
              <w:rPr>
                <w:rFonts w:ascii="Times New Roman" w:hAnsi="Times New Roman" w:eastAsia="宋体"/>
                <w:b w:val="0"/>
                <w:i w:val="0"/>
                <w:sz w:val="21"/>
              </w:rPr>
              <w:t>T</w:t>
            </w:r>
          </w:p>
        </w:tc>
        <w:tc>
          <w:tcPr>
            <w:tcW w:type="dxa" w:w="2771"/>
          </w:tcPr>
          <w:p>
            <w:pPr>
              <w:jc w:val="center"/>
            </w:pPr>
            <w:r>
              <w:rPr>
                <w:rFonts w:ascii="Times New Roman" w:hAnsi="Times New Roman" w:eastAsia="宋体"/>
                <w:b w:val="0"/>
                <w:i w:val="0"/>
                <w:sz w:val="21"/>
              </w:rPr>
              <w:t>{50, 100}</w:t>
            </w:r>
          </w:p>
        </w:tc>
      </w:tr>
      <w:tr>
        <w:tc>
          <w:tcPr>
            <w:tcW w:type="dxa" w:w="2771"/>
          </w:tcPr>
          <w:p>
            <w:pPr>
              <w:jc w:val="left"/>
            </w:pPr>
            <w:r>
              <w:rPr>
                <w:rFonts w:ascii="Times New Roman" w:hAnsi="Times New Roman" w:eastAsia="宋体"/>
                <w:b w:val="0"/>
                <w:i w:val="0"/>
                <w:sz w:val="21"/>
              </w:rPr>
              <w:t>季节振幅</w:t>
            </w:r>
          </w:p>
        </w:tc>
        <w:tc>
          <w:tcPr>
            <w:tcW w:type="dxa" w:w="2771"/>
          </w:tcPr>
          <w:p>
            <w:pPr>
              <w:jc w:val="center"/>
            </w:pPr>
            <w:r>
              <w:rPr>
                <w:rFonts w:ascii="Times New Roman" w:hAnsi="Times New Roman" w:eastAsia="宋体"/>
                <w:b w:val="0"/>
                <w:i w:val="0"/>
                <w:sz w:val="21"/>
              </w:rPr>
              <w:t>A</w:t>
            </w:r>
          </w:p>
        </w:tc>
        <w:tc>
          <w:tcPr>
            <w:tcW w:type="dxa" w:w="2771"/>
          </w:tcPr>
          <w:p>
            <w:pPr>
              <w:jc w:val="center"/>
            </w:pPr>
            <w:r>
              <w:rPr>
                <w:rFonts w:ascii="Times New Roman" w:hAnsi="Times New Roman" w:eastAsia="宋体"/>
                <w:b w:val="0"/>
                <w:i w:val="0"/>
                <w:sz w:val="21"/>
              </w:rPr>
              <w:t>{0, 3, 6}</w:t>
            </w:r>
          </w:p>
        </w:tc>
      </w:tr>
      <w:tr>
        <w:tc>
          <w:tcPr>
            <w:tcW w:type="dxa" w:w="2771"/>
          </w:tcPr>
          <w:p>
            <w:pPr>
              <w:jc w:val="left"/>
            </w:pPr>
            <w:r>
              <w:rPr>
                <w:rFonts w:ascii="Times New Roman" w:hAnsi="Times New Roman" w:eastAsia="宋体"/>
                <w:b w:val="0"/>
                <w:i w:val="0"/>
                <w:sz w:val="21"/>
              </w:rPr>
              <w:t>应急单价（仅双源）</w:t>
            </w:r>
          </w:p>
        </w:tc>
        <w:tc>
          <w:tcPr>
            <w:tcW w:type="dxa" w:w="2771"/>
          </w:tcPr>
          <w:p>
            <w:pPr>
              <w:jc w:val="center"/>
            </w:pPr>
            <w:r>
              <w:rPr>
                <w:rFonts w:ascii="Times New Roman" w:hAnsi="Times New Roman" w:eastAsia="宋体"/>
                <w:b w:val="0"/>
                <w:i w:val="0"/>
                <w:sz w:val="21"/>
              </w:rPr>
              <w:t>c2</w:t>
            </w:r>
          </w:p>
        </w:tc>
        <w:tc>
          <w:tcPr>
            <w:tcW w:type="dxa" w:w="2771"/>
          </w:tcPr>
          <w:p>
            <w:pPr>
              <w:jc w:val="center"/>
            </w:pPr>
            <w:r>
              <w:rPr>
                <w:rFonts w:ascii="Times New Roman" w:hAnsi="Times New Roman" w:eastAsia="宋体"/>
                <w:b w:val="0"/>
                <w:i w:val="0"/>
                <w:sz w:val="21"/>
              </w:rPr>
              <w:t>{3, 5}</w:t>
            </w:r>
          </w:p>
        </w:tc>
      </w:tr>
    </w:tbl>
    <w:p>
      <w:pPr>
        <w:spacing w:after="0"/>
      </w:pPr>
    </w:p>
    <w:p>
      <w:pPr>
        <w:spacing w:line="288" w:lineRule="auto" w:before="80" w:after="120"/>
        <w:jc w:val="center"/>
      </w:pPr>
      <w:r>
        <w:rPr>
          <w:rFonts w:ascii="Times New Roman" w:hAnsi="Times New Roman" w:eastAsia="宋体"/>
          <w:b/>
          <w:i w:val="0"/>
          <w:sz w:val="21"/>
        </w:rPr>
        <w:t>表5-1 扩展实验参数网格（h=1, c1=2, μ_base=10, τ=20, cv=0.2, α=0.99, L=2）</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fill="D9D9D9"/>
          </w:tcPr>
          <w:p>
            <w:pPr>
              <w:jc w:val="center"/>
            </w:pPr>
            <w:r>
              <w:rPr>
                <w:rFonts w:ascii="Times New Roman" w:hAnsi="Times New Roman" w:eastAsia="宋体"/>
                <w:b/>
                <w:i w:val="0"/>
                <w:sz w:val="21"/>
              </w:rPr>
              <w:t>参数</w:t>
            </w:r>
          </w:p>
        </w:tc>
        <w:tc>
          <w:tcPr>
            <w:tcW w:type="dxa" w:w="2078"/>
            <w:shd w:val="clear" w:fill="D9D9D9"/>
          </w:tcPr>
          <w:p>
            <w:pPr>
              <w:jc w:val="center"/>
            </w:pPr>
            <w:r>
              <w:rPr>
                <w:rFonts w:ascii="Times New Roman" w:hAnsi="Times New Roman" w:eastAsia="宋体"/>
                <w:b/>
                <w:i w:val="0"/>
                <w:sz w:val="21"/>
              </w:rPr>
              <w:t>取值</w:t>
            </w:r>
          </w:p>
        </w:tc>
        <w:tc>
          <w:tcPr>
            <w:tcW w:type="dxa" w:w="2078"/>
            <w:shd w:val="clear" w:fill="D9D9D9"/>
          </w:tcPr>
          <w:p>
            <w:pPr>
              <w:jc w:val="center"/>
            </w:pPr>
            <w:r>
              <w:rPr>
                <w:rFonts w:ascii="Times New Roman" w:hAnsi="Times New Roman" w:eastAsia="宋体"/>
                <w:b/>
                <w:i w:val="0"/>
                <w:sz w:val="21"/>
              </w:rPr>
              <w:t>参数</w:t>
            </w:r>
          </w:p>
        </w:tc>
        <w:tc>
          <w:tcPr>
            <w:tcW w:type="dxa" w:w="2078"/>
            <w:shd w:val="clear" w:fill="D9D9D9"/>
          </w:tcPr>
          <w:p>
            <w:pPr>
              <w:jc w:val="center"/>
            </w:pPr>
            <w:r>
              <w:rPr>
                <w:rFonts w:ascii="Times New Roman" w:hAnsi="Times New Roman" w:eastAsia="宋体"/>
                <w:b/>
                <w:i w:val="0"/>
                <w:sz w:val="21"/>
              </w:rPr>
              <w:t>取值</w:t>
            </w:r>
          </w:p>
        </w:tc>
      </w:tr>
      <w:tr>
        <w:tc>
          <w:tcPr>
            <w:tcW w:type="dxa" w:w="2078"/>
          </w:tcPr>
          <w:p>
            <w:pPr>
              <w:jc w:val="left"/>
            </w:pPr>
            <w:r>
              <w:rPr>
                <w:rFonts w:ascii="Times New Roman" w:hAnsi="Times New Roman" w:eastAsia="宋体"/>
                <w:b w:val="0"/>
                <w:i w:val="0"/>
                <w:sz w:val="21"/>
              </w:rPr>
              <w:t>D_type</w:t>
            </w:r>
          </w:p>
        </w:tc>
        <w:tc>
          <w:tcPr>
            <w:tcW w:type="dxa" w:w="2078"/>
          </w:tcPr>
          <w:p>
            <w:pPr>
              <w:jc w:val="center"/>
            </w:pPr>
            <w:r>
              <w:rPr>
                <w:rFonts w:ascii="Times New Roman" w:hAnsi="Times New Roman" w:eastAsia="宋体"/>
                <w:b w:val="0"/>
                <w:i w:val="0"/>
                <w:sz w:val="21"/>
              </w:rPr>
              <w:t>norm</w:t>
            </w:r>
          </w:p>
        </w:tc>
        <w:tc>
          <w:tcPr>
            <w:tcW w:type="dxa" w:w="2078"/>
          </w:tcPr>
          <w:p>
            <w:pPr>
              <w:jc w:val="center"/>
            </w:pPr>
            <w:r>
              <w:rPr>
                <w:rFonts w:ascii="Times New Roman" w:hAnsi="Times New Roman" w:eastAsia="宋体"/>
                <w:b w:val="0"/>
                <w:i w:val="0"/>
                <w:sz w:val="21"/>
              </w:rPr>
              <w:t>L</w:t>
            </w:r>
          </w:p>
        </w:tc>
        <w:tc>
          <w:tcPr>
            <w:tcW w:type="dxa" w:w="2078"/>
          </w:tcPr>
          <w:p>
            <w:pPr>
              <w:jc w:val="center"/>
            </w:pPr>
            <w:r>
              <w:rPr>
                <w:rFonts w:ascii="Times New Roman" w:hAnsi="Times New Roman" w:eastAsia="宋体"/>
                <w:b w:val="0"/>
                <w:i w:val="0"/>
                <w:sz w:val="21"/>
              </w:rPr>
              <w:t>2</w:t>
            </w:r>
          </w:p>
        </w:tc>
      </w:tr>
      <w:tr>
        <w:tc>
          <w:tcPr>
            <w:tcW w:type="dxa" w:w="2078"/>
          </w:tcPr>
          <w:p>
            <w:pPr>
              <w:jc w:val="left"/>
            </w:pPr>
            <w:r>
              <w:rPr>
                <w:rFonts w:ascii="Times New Roman" w:hAnsi="Times New Roman" w:eastAsia="宋体"/>
                <w:b w:val="0"/>
                <w:i w:val="0"/>
                <w:sz w:val="21"/>
              </w:rPr>
              <w:t>T</w:t>
            </w:r>
          </w:p>
        </w:tc>
        <w:tc>
          <w:tcPr>
            <w:tcW w:type="dxa" w:w="2078"/>
          </w:tcPr>
          <w:p>
            <w:pPr>
              <w:jc w:val="center"/>
            </w:pPr>
            <w:r>
              <w:rPr>
                <w:rFonts w:ascii="Times New Roman" w:hAnsi="Times New Roman" w:eastAsia="宋体"/>
                <w:b w:val="0"/>
                <w:i w:val="0"/>
                <w:sz w:val="21"/>
              </w:rPr>
              <w:t>50</w:t>
            </w:r>
          </w:p>
        </w:tc>
        <w:tc>
          <w:tcPr>
            <w:tcW w:type="dxa" w:w="2078"/>
          </w:tcPr>
          <w:p>
            <w:pPr>
              <w:jc w:val="center"/>
            </w:pPr>
            <w:r>
              <w:rPr>
                <w:rFonts w:ascii="Times New Roman" w:hAnsi="Times New Roman" w:eastAsia="宋体"/>
                <w:b w:val="0"/>
                <w:i w:val="0"/>
                <w:sz w:val="21"/>
              </w:rPr>
              <w:t>α</w:t>
            </w:r>
          </w:p>
        </w:tc>
        <w:tc>
          <w:tcPr>
            <w:tcW w:type="dxa" w:w="2078"/>
          </w:tcPr>
          <w:p>
            <w:pPr>
              <w:jc w:val="center"/>
            </w:pPr>
            <w:r>
              <w:rPr>
                <w:rFonts w:ascii="Times New Roman" w:hAnsi="Times New Roman" w:eastAsia="宋体"/>
                <w:b w:val="0"/>
                <w:i w:val="0"/>
                <w:sz w:val="21"/>
              </w:rPr>
              <w:t>0.99</w:t>
            </w:r>
          </w:p>
        </w:tc>
      </w:tr>
      <w:tr>
        <w:tc>
          <w:tcPr>
            <w:tcW w:type="dxa" w:w="2078"/>
          </w:tcPr>
          <w:p>
            <w:pPr>
              <w:jc w:val="left"/>
            </w:pPr>
            <w:r>
              <w:rPr>
                <w:rFonts w:ascii="Times New Roman" w:hAnsi="Times New Roman" w:eastAsia="宋体"/>
                <w:b w:val="0"/>
                <w:i w:val="0"/>
                <w:sz w:val="21"/>
              </w:rPr>
              <w:t>μ_base / τ / cv</w:t>
            </w:r>
          </w:p>
        </w:tc>
        <w:tc>
          <w:tcPr>
            <w:tcW w:type="dxa" w:w="2078"/>
          </w:tcPr>
          <w:p>
            <w:pPr>
              <w:jc w:val="center"/>
            </w:pPr>
            <w:r>
              <w:rPr>
                <w:rFonts w:ascii="Times New Roman" w:hAnsi="Times New Roman" w:eastAsia="宋体"/>
                <w:b w:val="0"/>
                <w:i w:val="0"/>
                <w:sz w:val="21"/>
              </w:rPr>
              <w:t>10 / 20 / 0.2</w:t>
            </w:r>
          </w:p>
        </w:tc>
        <w:tc>
          <w:tcPr>
            <w:tcW w:type="dxa" w:w="2078"/>
          </w:tcPr>
          <w:p>
            <w:pPr>
              <w:jc w:val="center"/>
            </w:pPr>
            <w:r>
              <w:rPr>
                <w:rFonts w:ascii="Times New Roman" w:hAnsi="Times New Roman" w:eastAsia="宋体"/>
                <w:b w:val="0"/>
                <w:i w:val="0"/>
                <w:sz w:val="21"/>
              </w:rPr>
              <w:t>A</w:t>
            </w:r>
          </w:p>
        </w:tc>
        <w:tc>
          <w:tcPr>
            <w:tcW w:type="dxa" w:w="2078"/>
          </w:tcPr>
          <w:p>
            <w:pPr>
              <w:jc w:val="center"/>
            </w:pPr>
            <w:r>
              <w:rPr>
                <w:rFonts w:ascii="Times New Roman" w:hAnsi="Times New Roman" w:eastAsia="宋体"/>
                <w:b w:val="0"/>
                <w:i w:val="0"/>
                <w:sz w:val="21"/>
              </w:rPr>
              <w:t>0</w:t>
            </w:r>
          </w:p>
        </w:tc>
      </w:tr>
      <w:tr>
        <w:tc>
          <w:tcPr>
            <w:tcW w:type="dxa" w:w="2078"/>
          </w:tcPr>
          <w:p>
            <w:pPr>
              <w:jc w:val="left"/>
            </w:pPr>
            <w:r>
              <w:rPr>
                <w:rFonts w:ascii="Times New Roman" w:hAnsi="Times New Roman" w:eastAsia="宋体"/>
                <w:b w:val="0"/>
                <w:i w:val="0"/>
                <w:sz w:val="21"/>
              </w:rPr>
              <w:t>p</w:t>
            </w:r>
          </w:p>
        </w:tc>
        <w:tc>
          <w:tcPr>
            <w:tcW w:type="dxa" w:w="2078"/>
          </w:tcPr>
          <w:p>
            <w:pPr>
              <w:jc w:val="center"/>
            </w:pPr>
            <w:r>
              <w:rPr>
                <w:rFonts w:ascii="Times New Roman" w:hAnsi="Times New Roman" w:eastAsia="宋体"/>
                <w:b w:val="0"/>
                <w:i w:val="0"/>
                <w:sz w:val="21"/>
              </w:rPr>
              <w:t>0.7</w:t>
            </w:r>
          </w:p>
        </w:tc>
        <w:tc>
          <w:tcPr>
            <w:tcW w:type="dxa" w:w="2078"/>
          </w:tcPr>
          <w:p>
            <w:pPr>
              <w:jc w:val="center"/>
            </w:pPr>
            <w:r>
              <w:rPr>
                <w:rFonts w:ascii="Times New Roman" w:hAnsi="Times New Roman" w:eastAsia="宋体"/>
                <w:b w:val="0"/>
                <w:i w:val="0"/>
                <w:sz w:val="21"/>
              </w:rPr>
              <w:t>b</w:t>
            </w:r>
          </w:p>
        </w:tc>
        <w:tc>
          <w:tcPr>
            <w:tcW w:type="dxa" w:w="2078"/>
          </w:tcPr>
          <w:p>
            <w:pPr>
              <w:jc w:val="center"/>
            </w:pPr>
            <w:r>
              <w:rPr>
                <w:rFonts w:ascii="Times New Roman" w:hAnsi="Times New Roman" w:eastAsia="宋体"/>
                <w:b w:val="0"/>
                <w:i w:val="0"/>
                <w:sz w:val="21"/>
              </w:rPr>
              <w:t>5.6667（bbh=0.85, h=1）</w:t>
            </w:r>
          </w:p>
        </w:tc>
      </w:tr>
      <w:tr>
        <w:tc>
          <w:tcPr>
            <w:tcW w:type="dxa" w:w="2078"/>
          </w:tcPr>
          <w:p>
            <w:pPr>
              <w:jc w:val="left"/>
            </w:pPr>
            <w:r>
              <w:rPr>
                <w:rFonts w:ascii="Times New Roman" w:hAnsi="Times New Roman" w:eastAsia="宋体"/>
                <w:b w:val="0"/>
                <w:i w:val="0"/>
                <w:sz w:val="21"/>
              </w:rPr>
              <w:t>c1</w:t>
            </w:r>
          </w:p>
        </w:tc>
        <w:tc>
          <w:tcPr>
            <w:tcW w:type="dxa" w:w="2078"/>
          </w:tcPr>
          <w:p>
            <w:pPr>
              <w:jc w:val="center"/>
            </w:pPr>
            <w:r>
              <w:rPr>
                <w:rFonts w:ascii="Times New Roman" w:hAnsi="Times New Roman" w:eastAsia="宋体"/>
                <w:b w:val="0"/>
                <w:i w:val="0"/>
                <w:sz w:val="21"/>
              </w:rPr>
              <w:t>2</w:t>
            </w:r>
          </w:p>
        </w:tc>
        <w:tc>
          <w:tcPr>
            <w:tcW w:type="dxa" w:w="2078"/>
          </w:tcPr>
          <w:p>
            <w:pPr>
              <w:jc w:val="center"/>
            </w:pPr>
            <w:r>
              <w:rPr>
                <w:rFonts w:ascii="Times New Roman" w:hAnsi="Times New Roman" w:eastAsia="宋体"/>
                <w:b w:val="0"/>
                <w:i w:val="0"/>
                <w:sz w:val="21"/>
              </w:rPr>
              <w:t>c2（仅双源）</w:t>
            </w:r>
          </w:p>
        </w:tc>
        <w:tc>
          <w:tcPr>
            <w:tcW w:type="dxa" w:w="2078"/>
          </w:tcPr>
          <w:p>
            <w:pPr>
              <w:jc w:val="center"/>
            </w:pPr>
            <w:r>
              <w:rPr>
                <w:rFonts w:ascii="Times New Roman" w:hAnsi="Times New Roman" w:eastAsia="宋体"/>
                <w:b w:val="0"/>
                <w:i w:val="0"/>
                <w:sz w:val="21"/>
              </w:rPr>
              <w:t>3</w:t>
            </w:r>
          </w:p>
        </w:tc>
      </w:tr>
    </w:tbl>
    <w:p>
      <w:pPr>
        <w:spacing w:after="0"/>
      </w:pPr>
    </w:p>
    <w:p>
      <w:pPr>
        <w:spacing w:line="288" w:lineRule="auto" w:before="80" w:after="120"/>
        <w:jc w:val="center"/>
      </w:pPr>
      <w:r>
        <w:rPr>
          <w:rFonts w:ascii="Times New Roman" w:hAnsi="Times New Roman" w:eastAsia="宋体"/>
          <w:b/>
          <w:i w:val="0"/>
          <w:sz w:val="21"/>
        </w:rPr>
        <w:t>表5-2 演示样本 #1 参数（自 get_group_dual()/get_group_seasonal() 直接导出）</w:t>
      </w:r>
    </w:p>
    <w:p>
      <w:pPr>
        <w:spacing w:line="360" w:lineRule="auto" w:after="120"/>
        <w:ind w:firstLine="480"/>
      </w:pPr>
      <w:r>
        <w:rPr>
          <w:rFonts w:ascii="Times New Roman" w:hAnsi="Times New Roman" w:eastAsia="宋体"/>
          <w:b w:val="0"/>
          <w:i w:val="0"/>
          <w:sz w:val="24"/>
        </w:rPr>
        <w:t>本章数值为演示样本 #1 的先行运行结果，评估使用测试种子池前 N=5 个种子对；全网格 × N=100 的完整批量运行【待执行】。需要说明：样本 #1 的 A=0 属稳态需求场景，其作用一是验证扩展模型的向后兼容性（对应方案文档“当 A=0 时性能应与原模型一致”的预期），二是作为双源机制的受控实验场景；A∈{3,6} 的季节梯度对比属后续批量内容。</w:t>
      </w:r>
    </w:p>
    <w:p>
      <w:pPr>
        <w:spacing w:line="360" w:lineRule="auto" w:after="40"/>
      </w:pPr>
      <w:r>
        <w:rPr>
          <w:rFonts w:ascii="Times New Roman" w:hAnsi="Times New Roman" w:eastAsia="宋体"/>
          <w:b/>
          <w:i w:val="0"/>
          <w:sz w:val="24"/>
        </w:rPr>
        <w:t>注记5.1（A=0 结果与原论文附录C的呼应）。</w:t>
      </w:r>
    </w:p>
    <w:p>
      <w:pPr>
        <w:spacing w:line="360" w:lineRule="auto" w:after="160"/>
        <w:ind w:firstLine="480"/>
      </w:pPr>
      <w:r>
        <w:rPr>
          <w:rFonts w:ascii="Times New Roman" w:hAnsi="Times New Roman" w:eastAsia="宋体"/>
          <w:b w:val="0"/>
          <w:i w:val="0"/>
          <w:sz w:val="24"/>
        </w:rPr>
        <w:t>稳态场景下 DRL-seasonal 仅微幅优于 WNH（表5-3），这与原论文附录C“平稳需求下加入时间输入无显著优势”的发现相互印证而非矛盾——说明时间特征的收益只能来自其所携带的需求分布信息；当 A&gt;0 时该信息真实存在，时间编码是否兑现价值正是消融 A1 要检验的核心命题。</w:t>
      </w:r>
    </w:p>
    <w:p>
      <w:pPr>
        <w:pStyle w:val="Heading2"/>
      </w:pPr>
      <w:r>
        <w:t>5.2 实验一：季节性扩展场景（单源）</w:t>
      </w:r>
    </w:p>
    <w:p>
      <w:pPr>
        <w:spacing w:line="360" w:lineRule="auto" w:after="120"/>
        <w:ind w:firstLine="480"/>
      </w:pPr>
      <w:r>
        <w:rPr>
          <w:rFonts w:ascii="Times New Roman" w:hAnsi="Times New Roman" w:eastAsia="宋体"/>
          <w:b w:val="0"/>
          <w:i w:val="0"/>
          <w:sz w:val="24"/>
        </w:rPr>
        <w:t>单源季节性场景下三种策略在 N=5 个公共种子上的结果如表5-3（test_seasonal.py 输出 cost_list_seasonal.json）。</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fill="D9D9D9"/>
          </w:tcPr>
          <w:p>
            <w:pPr>
              <w:jc w:val="center"/>
            </w:pPr>
            <w:r>
              <w:rPr>
                <w:rFonts w:ascii="Times New Roman" w:hAnsi="Times New Roman" w:eastAsia="宋体"/>
                <w:b/>
                <w:i w:val="0"/>
                <w:sz w:val="21"/>
              </w:rPr>
              <w:t>策略</w:t>
            </w:r>
          </w:p>
        </w:tc>
        <w:tc>
          <w:tcPr>
            <w:tcW w:type="dxa" w:w="2078"/>
            <w:shd w:val="clear" w:fill="D9D9D9"/>
          </w:tcPr>
          <w:p>
            <w:pPr>
              <w:jc w:val="center"/>
            </w:pPr>
            <w:r>
              <w:rPr>
                <w:rFonts w:ascii="Times New Roman" w:hAnsi="Times New Roman" w:eastAsia="宋体"/>
                <w:b/>
                <w:i w:val="0"/>
                <w:sz w:val="21"/>
              </w:rPr>
              <w:t>平均折扣总成本</w:t>
            </w:r>
          </w:p>
        </w:tc>
        <w:tc>
          <w:tcPr>
            <w:tcW w:type="dxa" w:w="2078"/>
            <w:shd w:val="clear" w:fill="D9D9D9"/>
          </w:tcPr>
          <w:p>
            <w:pPr>
              <w:jc w:val="center"/>
            </w:pPr>
            <w:r>
              <w:rPr>
                <w:rFonts w:ascii="Times New Roman" w:hAnsi="Times New Roman" w:eastAsia="宋体"/>
                <w:b/>
                <w:i w:val="0"/>
                <w:sz w:val="21"/>
              </w:rPr>
              <w:t>标准差</w:t>
            </w:r>
          </w:p>
        </w:tc>
        <w:tc>
          <w:tcPr>
            <w:tcW w:type="dxa" w:w="2078"/>
            <w:shd w:val="clear" w:fill="D9D9D9"/>
          </w:tcPr>
          <w:p>
            <w:pPr>
              <w:jc w:val="center"/>
            </w:pPr>
            <w:r>
              <w:rPr>
                <w:rFonts w:ascii="Times New Roman" w:hAnsi="Times New Roman" w:eastAsia="宋体"/>
                <w:b/>
                <w:i w:val="0"/>
                <w:sz w:val="21"/>
              </w:rPr>
              <w:t>相对 WNH 差距</w:t>
            </w:r>
          </w:p>
        </w:tc>
      </w:tr>
      <w:tr>
        <w:tc>
          <w:tcPr>
            <w:tcW w:type="dxa" w:w="2078"/>
          </w:tcPr>
          <w:p>
            <w:pPr>
              <w:jc w:val="left"/>
            </w:pPr>
            <w:r>
              <w:rPr>
                <w:rFonts w:ascii="Times New Roman" w:hAnsi="Times New Roman" w:eastAsia="宋体"/>
                <w:b w:val="0"/>
                <w:i w:val="0"/>
                <w:sz w:val="21"/>
              </w:rPr>
              <w:t>Qt_LIR</w:t>
            </w:r>
          </w:p>
        </w:tc>
        <w:tc>
          <w:tcPr>
            <w:tcW w:type="dxa" w:w="2078"/>
          </w:tcPr>
          <w:p>
            <w:pPr>
              <w:jc w:val="center"/>
            </w:pPr>
            <w:r>
              <w:rPr>
                <w:rFonts w:ascii="Times New Roman" w:hAnsi="Times New Roman" w:eastAsia="宋体"/>
                <w:b w:val="0"/>
                <w:i w:val="0"/>
                <w:sz w:val="21"/>
              </w:rPr>
              <w:t>1869.76</w:t>
            </w:r>
          </w:p>
        </w:tc>
        <w:tc>
          <w:tcPr>
            <w:tcW w:type="dxa" w:w="2078"/>
          </w:tcPr>
          <w:p>
            <w:pPr>
              <w:jc w:val="center"/>
            </w:pPr>
            <w:r>
              <w:rPr>
                <w:rFonts w:ascii="Times New Roman" w:hAnsi="Times New Roman" w:eastAsia="宋体"/>
                <w:b w:val="0"/>
                <w:i w:val="0"/>
                <w:sz w:val="21"/>
              </w:rPr>
              <w:t>170.86</w:t>
            </w:r>
          </w:p>
        </w:tc>
        <w:tc>
          <w:tcPr>
            <w:tcW w:type="dxa" w:w="2078"/>
          </w:tcPr>
          <w:p>
            <w:pPr>
              <w:jc w:val="center"/>
            </w:pPr>
            <w:r>
              <w:rPr>
                <w:rFonts w:ascii="Times New Roman" w:hAnsi="Times New Roman" w:eastAsia="宋体"/>
                <w:b w:val="0"/>
                <w:i w:val="0"/>
                <w:sz w:val="21"/>
              </w:rPr>
              <w:t>+0.20%</w:t>
            </w:r>
          </w:p>
        </w:tc>
      </w:tr>
      <w:tr>
        <w:tc>
          <w:tcPr>
            <w:tcW w:type="dxa" w:w="2078"/>
          </w:tcPr>
          <w:p>
            <w:pPr>
              <w:jc w:val="left"/>
            </w:pPr>
            <w:r>
              <w:rPr>
                <w:rFonts w:ascii="Times New Roman" w:hAnsi="Times New Roman" w:eastAsia="宋体"/>
                <w:b w:val="0"/>
                <w:i w:val="0"/>
                <w:sz w:val="21"/>
              </w:rPr>
              <w:t>Qt_WNH</w:t>
            </w:r>
          </w:p>
        </w:tc>
        <w:tc>
          <w:tcPr>
            <w:tcW w:type="dxa" w:w="2078"/>
          </w:tcPr>
          <w:p>
            <w:pPr>
              <w:jc w:val="center"/>
            </w:pPr>
            <w:r>
              <w:rPr>
                <w:rFonts w:ascii="Times New Roman" w:hAnsi="Times New Roman" w:eastAsia="宋体"/>
                <w:b w:val="0"/>
                <w:i w:val="0"/>
                <w:sz w:val="21"/>
              </w:rPr>
              <w:t>1865.98</w:t>
            </w:r>
          </w:p>
        </w:tc>
        <w:tc>
          <w:tcPr>
            <w:tcW w:type="dxa" w:w="2078"/>
          </w:tcPr>
          <w:p>
            <w:pPr>
              <w:jc w:val="center"/>
            </w:pPr>
            <w:r>
              <w:rPr>
                <w:rFonts w:ascii="Times New Roman" w:hAnsi="Times New Roman" w:eastAsia="宋体"/>
                <w:b w:val="0"/>
                <w:i w:val="0"/>
                <w:sz w:val="21"/>
              </w:rPr>
              <w:t>172.54</w:t>
            </w:r>
          </w:p>
        </w:tc>
        <w:tc>
          <w:tcPr>
            <w:tcW w:type="dxa" w:w="2078"/>
          </w:tcPr>
          <w:p>
            <w:pPr>
              <w:jc w:val="center"/>
            </w:pPr>
            <w:r>
              <w:rPr>
                <w:rFonts w:ascii="Times New Roman" w:hAnsi="Times New Roman" w:eastAsia="宋体"/>
                <w:b w:val="0"/>
                <w:i w:val="0"/>
                <w:sz w:val="21"/>
              </w:rPr>
              <w:t>基准</w:t>
            </w:r>
          </w:p>
        </w:tc>
      </w:tr>
      <w:tr>
        <w:tc>
          <w:tcPr>
            <w:tcW w:type="dxa" w:w="2078"/>
          </w:tcPr>
          <w:p>
            <w:pPr>
              <w:jc w:val="left"/>
            </w:pPr>
            <w:r>
              <w:rPr>
                <w:rFonts w:ascii="Times New Roman" w:hAnsi="Times New Roman" w:eastAsia="宋体"/>
                <w:b w:val="0"/>
                <w:i w:val="0"/>
                <w:sz w:val="21"/>
              </w:rPr>
              <w:t>Qt_DRL (DRL-seasonal)</w:t>
            </w:r>
          </w:p>
        </w:tc>
        <w:tc>
          <w:tcPr>
            <w:tcW w:type="dxa" w:w="2078"/>
          </w:tcPr>
          <w:p>
            <w:pPr>
              <w:jc w:val="center"/>
            </w:pPr>
            <w:r>
              <w:rPr>
                <w:rFonts w:ascii="Times New Roman" w:hAnsi="Times New Roman" w:eastAsia="宋体"/>
                <w:b w:val="0"/>
                <w:i w:val="0"/>
                <w:sz w:val="21"/>
              </w:rPr>
              <w:t>1850.74</w:t>
            </w:r>
          </w:p>
        </w:tc>
        <w:tc>
          <w:tcPr>
            <w:tcW w:type="dxa" w:w="2078"/>
          </w:tcPr>
          <w:p>
            <w:pPr>
              <w:jc w:val="center"/>
            </w:pPr>
            <w:r>
              <w:rPr>
                <w:rFonts w:ascii="Times New Roman" w:hAnsi="Times New Roman" w:eastAsia="宋体"/>
                <w:b w:val="0"/>
                <w:i w:val="0"/>
                <w:sz w:val="21"/>
              </w:rPr>
              <w:t>182.61</w:t>
            </w:r>
          </w:p>
        </w:tc>
        <w:tc>
          <w:tcPr>
            <w:tcW w:type="dxa" w:w="2078"/>
          </w:tcPr>
          <w:p>
            <w:pPr>
              <w:jc w:val="center"/>
            </w:pPr>
            <w:r>
              <w:rPr>
                <w:rFonts w:ascii="Times New Roman" w:hAnsi="Times New Roman" w:eastAsia="宋体"/>
                <w:b w:val="0"/>
                <w:i w:val="0"/>
                <w:sz w:val="21"/>
              </w:rPr>
              <w:t>-0.82%</w:t>
            </w:r>
          </w:p>
        </w:tc>
      </w:tr>
    </w:tbl>
    <w:p>
      <w:pPr>
        <w:spacing w:after="0"/>
      </w:pPr>
    </w:p>
    <w:p>
      <w:pPr>
        <w:spacing w:line="288" w:lineRule="auto" w:before="80" w:after="120"/>
        <w:jc w:val="center"/>
      </w:pPr>
      <w:r>
        <w:rPr>
          <w:rFonts w:ascii="Times New Roman" w:hAnsi="Times New Roman" w:eastAsia="宋体"/>
          <w:b/>
          <w:i w:val="0"/>
          <w:sz w:val="21"/>
        </w:rPr>
        <w:t>表5-3 季节性场景结果（样本#1，A=0，N=5 公共种子）</w:t>
      </w:r>
    </w:p>
    <w:p>
      <w:pPr>
        <w:spacing w:line="360" w:lineRule="auto" w:after="120"/>
        <w:ind w:firstLine="480"/>
      </w:pPr>
      <w:r>
        <w:rPr>
          <w:rFonts w:ascii="Times New Roman" w:hAnsi="Times New Roman" w:eastAsia="宋体"/>
          <w:b w:val="0"/>
          <w:i w:val="0"/>
          <w:sz w:val="24"/>
        </w:rPr>
        <w:t>在 A=0 的稳态下，DRL-seasonal 以 1850.74 小幅优于 WNH（-0.82%），增益只能来自路径权重在教师邻域内的微调而非时间信息。训练侧经 8 个回合早停收敛：批均成本由 1942.77 降至 1812.11，相对损失由 1.298 降至 0.207（图5-1）。</w:t>
      </w:r>
    </w:p>
    <w:p>
      <w:pPr>
        <w:jc w:val="center"/>
      </w:pPr>
      <w:r>
        <w:drawing>
          <wp:inline xmlns:a="http://schemas.openxmlformats.org/drawingml/2006/main" xmlns:pic="http://schemas.openxmlformats.org/drawingml/2006/picture">
            <wp:extent cx="4206240" cy="3154680"/>
            <wp:docPr id="1" name="Picture 1"/>
            <wp:cNvGraphicFramePr>
              <a:graphicFrameLocks noChangeAspect="1"/>
            </wp:cNvGraphicFramePr>
            <a:graphic>
              <a:graphicData uri="http://schemas.openxmlformats.org/drawingml/2006/picture">
                <pic:pic>
                  <pic:nvPicPr>
                    <pic:cNvPr id="0" name="gap_seasonal_sample1.png"/>
                    <pic:cNvPicPr/>
                  </pic:nvPicPr>
                  <pic:blipFill>
                    <a:blip r:embed="rId9"/>
                    <a:stretch>
                      <a:fillRect/>
                    </a:stretch>
                  </pic:blipFill>
                  <pic:spPr>
                    <a:xfrm>
                      <a:off x="0" y="0"/>
                      <a:ext cx="4206240" cy="3154680"/>
                    </a:xfrm>
                    <a:prstGeom prst="rect"/>
                  </pic:spPr>
                </pic:pic>
              </a:graphicData>
            </a:graphic>
          </wp:inline>
        </w:drawing>
      </w:r>
    </w:p>
    <w:p>
      <w:pPr>
        <w:spacing w:line="288" w:lineRule="auto" w:before="80" w:after="120"/>
        <w:jc w:val="center"/>
      </w:pPr>
      <w:r>
        <w:rPr>
          <w:rFonts w:ascii="Times New Roman" w:hAnsi="Times New Roman" w:eastAsia="宋体"/>
          <w:b/>
          <w:i w:val="0"/>
          <w:sz w:val="21"/>
        </w:rPr>
        <w:t>图5-1 DRL-seasonal 训练相对差距曲线（纵轴为 log(loss)，红线为教师水平）</w:t>
      </w:r>
    </w:p>
    <w:p>
      <w:pPr>
        <w:pStyle w:val="Heading2"/>
      </w:pPr>
      <w:r>
        <w:t>5.3 实验二：双源扩展场景（完整扩展模型）</w:t>
      </w:r>
    </w:p>
    <w:p>
      <w:pPr>
        <w:spacing w:line="360" w:lineRule="auto" w:after="120"/>
        <w:ind w:firstLine="480"/>
      </w:pPr>
      <w:r>
        <w:rPr>
          <w:rFonts w:ascii="Times New Roman" w:hAnsi="Times New Roman" w:eastAsia="宋体"/>
          <w:b w:val="0"/>
          <w:i w:val="0"/>
          <w:sz w:val="24"/>
        </w:rPr>
        <w:t>双源场景下五种策略在相同 N=5 种子上的结果如表5-4（test_dual.py 输出 cost_list_dual.json），相对差距以 HEUR 为参考。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fill="D9D9D9"/>
          </w:tcPr>
          <w:p>
            <w:pPr>
              <w:jc w:val="center"/>
            </w:pPr>
            <w:r>
              <w:rPr>
                <w:rFonts w:ascii="Times New Roman" w:hAnsi="Times New Roman" w:eastAsia="宋体"/>
                <w:b/>
                <w:i w:val="0"/>
                <w:sz w:val="21"/>
              </w:rPr>
              <w:t>策略</w:t>
            </w:r>
          </w:p>
        </w:tc>
        <w:tc>
          <w:tcPr>
            <w:tcW w:type="dxa" w:w="2078"/>
            <w:shd w:val="clear" w:fill="D9D9D9"/>
          </w:tcPr>
          <w:p>
            <w:pPr>
              <w:jc w:val="center"/>
            </w:pPr>
            <w:r>
              <w:rPr>
                <w:rFonts w:ascii="Times New Roman" w:hAnsi="Times New Roman" w:eastAsia="宋体"/>
                <w:b/>
                <w:i w:val="0"/>
                <w:sz w:val="21"/>
              </w:rPr>
              <w:t>平均折扣总成本</w:t>
            </w:r>
          </w:p>
        </w:tc>
        <w:tc>
          <w:tcPr>
            <w:tcW w:type="dxa" w:w="2078"/>
            <w:shd w:val="clear" w:fill="D9D9D9"/>
          </w:tcPr>
          <w:p>
            <w:pPr>
              <w:jc w:val="center"/>
            </w:pPr>
            <w:r>
              <w:rPr>
                <w:rFonts w:ascii="Times New Roman" w:hAnsi="Times New Roman" w:eastAsia="宋体"/>
                <w:b/>
                <w:i w:val="0"/>
                <w:sz w:val="21"/>
              </w:rPr>
              <w:t>标准差</w:t>
            </w:r>
          </w:p>
        </w:tc>
        <w:tc>
          <w:tcPr>
            <w:tcW w:type="dxa" w:w="2078"/>
            <w:shd w:val="clear" w:fill="D9D9D9"/>
          </w:tcPr>
          <w:p>
            <w:pPr>
              <w:jc w:val="center"/>
            </w:pPr>
            <w:r>
              <w:rPr>
                <w:rFonts w:ascii="Times New Roman" w:hAnsi="Times New Roman" w:eastAsia="宋体"/>
                <w:b/>
                <w:i w:val="0"/>
                <w:sz w:val="21"/>
              </w:rPr>
              <w:t>相对 HEUR 差距</w:t>
            </w:r>
          </w:p>
        </w:tc>
      </w:tr>
      <w:tr>
        <w:tc>
          <w:tcPr>
            <w:tcW w:type="dxa" w:w="2078"/>
          </w:tcPr>
          <w:p>
            <w:pPr>
              <w:jc w:val="left"/>
            </w:pPr>
            <w:r>
              <w:rPr>
                <w:rFonts w:ascii="Times New Roman" w:hAnsi="Times New Roman" w:eastAsia="宋体"/>
                <w:b w:val="0"/>
                <w:i w:val="0"/>
                <w:sz w:val="21"/>
              </w:rPr>
              <w:t>Qt_LIR（仅常规）</w:t>
            </w:r>
          </w:p>
        </w:tc>
        <w:tc>
          <w:tcPr>
            <w:tcW w:type="dxa" w:w="2078"/>
          </w:tcPr>
          <w:p>
            <w:pPr>
              <w:jc w:val="center"/>
            </w:pPr>
            <w:r>
              <w:rPr>
                <w:rFonts w:ascii="Times New Roman" w:hAnsi="Times New Roman" w:eastAsia="宋体"/>
                <w:b w:val="0"/>
                <w:i w:val="0"/>
                <w:sz w:val="21"/>
              </w:rPr>
              <w:t>1869.76</w:t>
            </w:r>
          </w:p>
        </w:tc>
        <w:tc>
          <w:tcPr>
            <w:tcW w:type="dxa" w:w="2078"/>
          </w:tcPr>
          <w:p>
            <w:pPr>
              <w:jc w:val="center"/>
            </w:pPr>
            <w:r>
              <w:rPr>
                <w:rFonts w:ascii="Times New Roman" w:hAnsi="Times New Roman" w:eastAsia="宋体"/>
                <w:b w:val="0"/>
                <w:i w:val="0"/>
                <w:sz w:val="21"/>
              </w:rPr>
              <w:t>170.86</w:t>
            </w:r>
          </w:p>
        </w:tc>
        <w:tc>
          <w:tcPr>
            <w:tcW w:type="dxa" w:w="2078"/>
          </w:tcPr>
          <w:p>
            <w:pPr>
              <w:jc w:val="center"/>
            </w:pPr>
            <w:r>
              <w:rPr>
                <w:rFonts w:ascii="Times New Roman" w:hAnsi="Times New Roman" w:eastAsia="宋体"/>
                <w:b w:val="0"/>
                <w:i w:val="0"/>
                <w:sz w:val="21"/>
              </w:rPr>
              <w:t>+34.12%</w:t>
            </w:r>
          </w:p>
        </w:tc>
      </w:tr>
      <w:tr>
        <w:tc>
          <w:tcPr>
            <w:tcW w:type="dxa" w:w="2078"/>
          </w:tcPr>
          <w:p>
            <w:pPr>
              <w:jc w:val="left"/>
            </w:pPr>
            <w:r>
              <w:rPr>
                <w:rFonts w:ascii="Times New Roman" w:hAnsi="Times New Roman" w:eastAsia="宋体"/>
                <w:b w:val="0"/>
                <w:i w:val="0"/>
                <w:sz w:val="21"/>
              </w:rPr>
              <w:t>Qt_WNH（仅常规）</w:t>
            </w:r>
          </w:p>
        </w:tc>
        <w:tc>
          <w:tcPr>
            <w:tcW w:type="dxa" w:w="2078"/>
          </w:tcPr>
          <w:p>
            <w:pPr>
              <w:jc w:val="center"/>
            </w:pPr>
            <w:r>
              <w:rPr>
                <w:rFonts w:ascii="Times New Roman" w:hAnsi="Times New Roman" w:eastAsia="宋体"/>
                <w:b w:val="0"/>
                <w:i w:val="0"/>
                <w:sz w:val="21"/>
              </w:rPr>
              <w:t>1865.98</w:t>
            </w:r>
          </w:p>
        </w:tc>
        <w:tc>
          <w:tcPr>
            <w:tcW w:type="dxa" w:w="2078"/>
          </w:tcPr>
          <w:p>
            <w:pPr>
              <w:jc w:val="center"/>
            </w:pPr>
            <w:r>
              <w:rPr>
                <w:rFonts w:ascii="Times New Roman" w:hAnsi="Times New Roman" w:eastAsia="宋体"/>
                <w:b w:val="0"/>
                <w:i w:val="0"/>
                <w:sz w:val="21"/>
              </w:rPr>
              <w:t>172.54</w:t>
            </w:r>
          </w:p>
        </w:tc>
        <w:tc>
          <w:tcPr>
            <w:tcW w:type="dxa" w:w="2078"/>
          </w:tcPr>
          <w:p>
            <w:pPr>
              <w:jc w:val="center"/>
            </w:pPr>
            <w:r>
              <w:rPr>
                <w:rFonts w:ascii="Times New Roman" w:hAnsi="Times New Roman" w:eastAsia="宋体"/>
                <w:b w:val="0"/>
                <w:i w:val="0"/>
                <w:sz w:val="21"/>
              </w:rPr>
              <w:t>+33.85%</w:t>
            </w:r>
          </w:p>
        </w:tc>
      </w:tr>
      <w:tr>
        <w:tc>
          <w:tcPr>
            <w:tcW w:type="dxa" w:w="2078"/>
          </w:tcPr>
          <w:p>
            <w:pPr>
              <w:jc w:val="left"/>
            </w:pPr>
            <w:r>
              <w:rPr>
                <w:rFonts w:ascii="Times New Roman" w:hAnsi="Times New Roman" w:eastAsia="宋体"/>
                <w:b w:val="0"/>
                <w:i w:val="0"/>
                <w:sz w:val="21"/>
              </w:rPr>
              <w:t>Qt_NV（仅应急）</w:t>
            </w:r>
          </w:p>
        </w:tc>
        <w:tc>
          <w:tcPr>
            <w:tcW w:type="dxa" w:w="2078"/>
          </w:tcPr>
          <w:p>
            <w:pPr>
              <w:jc w:val="center"/>
            </w:pPr>
            <w:r>
              <w:rPr>
                <w:rFonts w:ascii="Times New Roman" w:hAnsi="Times New Roman" w:eastAsia="宋体"/>
                <w:b w:val="0"/>
                <w:i w:val="0"/>
                <w:sz w:val="21"/>
              </w:rPr>
              <w:t>1490.59</w:t>
            </w:r>
          </w:p>
        </w:tc>
        <w:tc>
          <w:tcPr>
            <w:tcW w:type="dxa" w:w="2078"/>
          </w:tcPr>
          <w:p>
            <w:pPr>
              <w:jc w:val="center"/>
            </w:pPr>
            <w:r>
              <w:rPr>
                <w:rFonts w:ascii="Times New Roman" w:hAnsi="Times New Roman" w:eastAsia="宋体"/>
                <w:b w:val="0"/>
                <w:i w:val="0"/>
                <w:sz w:val="21"/>
              </w:rPr>
              <w:t>105.04</w:t>
            </w:r>
          </w:p>
        </w:tc>
        <w:tc>
          <w:tcPr>
            <w:tcW w:type="dxa" w:w="2078"/>
          </w:tcPr>
          <w:p>
            <w:pPr>
              <w:jc w:val="center"/>
            </w:pPr>
            <w:r>
              <w:rPr>
                <w:rFonts w:ascii="Times New Roman" w:hAnsi="Times New Roman" w:eastAsia="宋体"/>
                <w:b w:val="0"/>
                <w:i w:val="0"/>
                <w:sz w:val="21"/>
              </w:rPr>
              <w:t>+6.92%</w:t>
            </w:r>
          </w:p>
        </w:tc>
      </w:tr>
      <w:tr>
        <w:tc>
          <w:tcPr>
            <w:tcW w:type="dxa" w:w="2078"/>
          </w:tcPr>
          <w:p>
            <w:pPr>
              <w:jc w:val="left"/>
            </w:pPr>
            <w:r>
              <w:rPr>
                <w:rFonts w:ascii="Times New Roman" w:hAnsi="Times New Roman" w:eastAsia="宋体"/>
                <w:b w:val="0"/>
                <w:i w:val="0"/>
                <w:sz w:val="21"/>
              </w:rPr>
              <w:t>Qt_HEUR（WNH+NV）</w:t>
            </w:r>
          </w:p>
        </w:tc>
        <w:tc>
          <w:tcPr>
            <w:tcW w:type="dxa" w:w="2078"/>
          </w:tcPr>
          <w:p>
            <w:pPr>
              <w:jc w:val="center"/>
            </w:pPr>
            <w:r>
              <w:rPr>
                <w:rFonts w:ascii="Times New Roman" w:hAnsi="Times New Roman" w:eastAsia="宋体"/>
                <w:b w:val="0"/>
                <w:i w:val="0"/>
                <w:sz w:val="21"/>
              </w:rPr>
              <w:t>1394.10</w:t>
            </w:r>
          </w:p>
        </w:tc>
        <w:tc>
          <w:tcPr>
            <w:tcW w:type="dxa" w:w="2078"/>
          </w:tcPr>
          <w:p>
            <w:pPr>
              <w:jc w:val="center"/>
            </w:pPr>
            <w:r>
              <w:rPr>
                <w:rFonts w:ascii="Times New Roman" w:hAnsi="Times New Roman" w:eastAsia="宋体"/>
                <w:b w:val="0"/>
                <w:i w:val="0"/>
                <w:sz w:val="21"/>
              </w:rPr>
              <w:t>46.08</w:t>
            </w:r>
          </w:p>
        </w:tc>
        <w:tc>
          <w:tcPr>
            <w:tcW w:type="dxa" w:w="2078"/>
          </w:tcPr>
          <w:p>
            <w:pPr>
              <w:jc w:val="center"/>
            </w:pPr>
            <w:r>
              <w:rPr>
                <w:rFonts w:ascii="Times New Roman" w:hAnsi="Times New Roman" w:eastAsia="宋体"/>
                <w:b w:val="0"/>
                <w:i w:val="0"/>
                <w:sz w:val="21"/>
              </w:rPr>
              <w:t>基准</w:t>
            </w:r>
          </w:p>
        </w:tc>
      </w:tr>
      <w:tr>
        <w:tc>
          <w:tcPr>
            <w:tcW w:type="dxa" w:w="2078"/>
          </w:tcPr>
          <w:p>
            <w:pPr>
              <w:jc w:val="left"/>
            </w:pPr>
            <w:r>
              <w:rPr>
                <w:rFonts w:ascii="Times New Roman" w:hAnsi="Times New Roman" w:eastAsia="宋体"/>
                <w:b w:val="0"/>
                <w:i w:val="0"/>
                <w:sz w:val="21"/>
              </w:rPr>
              <w:t>Qt_DRL（DRL-full）</w:t>
            </w:r>
          </w:p>
        </w:tc>
        <w:tc>
          <w:tcPr>
            <w:tcW w:type="dxa" w:w="2078"/>
          </w:tcPr>
          <w:p>
            <w:pPr>
              <w:jc w:val="center"/>
            </w:pPr>
            <w:r>
              <w:rPr>
                <w:rFonts w:ascii="Times New Roman" w:hAnsi="Times New Roman" w:eastAsia="宋体"/>
                <w:b w:val="0"/>
                <w:i w:val="0"/>
                <w:sz w:val="21"/>
              </w:rPr>
              <w:t>1268.51</w:t>
            </w:r>
          </w:p>
        </w:tc>
        <w:tc>
          <w:tcPr>
            <w:tcW w:type="dxa" w:w="2078"/>
          </w:tcPr>
          <w:p>
            <w:pPr>
              <w:jc w:val="center"/>
            </w:pPr>
            <w:r>
              <w:rPr>
                <w:rFonts w:ascii="Times New Roman" w:hAnsi="Times New Roman" w:eastAsia="宋体"/>
                <w:b w:val="0"/>
                <w:i w:val="0"/>
                <w:sz w:val="21"/>
              </w:rPr>
              <w:t>33.16</w:t>
            </w:r>
          </w:p>
        </w:tc>
        <w:tc>
          <w:tcPr>
            <w:tcW w:type="dxa" w:w="2078"/>
          </w:tcPr>
          <w:p>
            <w:pPr>
              <w:jc w:val="center"/>
            </w:pPr>
            <w:r>
              <w:rPr>
                <w:rFonts w:ascii="Times New Roman" w:hAnsi="Times New Roman" w:eastAsia="宋体"/>
                <w:b w:val="0"/>
                <w:i w:val="0"/>
                <w:sz w:val="21"/>
              </w:rPr>
              <w:t>-9.01%</w:t>
            </w:r>
          </w:p>
        </w:tc>
      </w:tr>
    </w:tbl>
    <w:p>
      <w:pPr>
        <w:spacing w:after="0"/>
      </w:pPr>
    </w:p>
    <w:p>
      <w:pPr>
        <w:spacing w:line="288" w:lineRule="auto" w:before="80" w:after="120"/>
        <w:jc w:val="center"/>
      </w:pPr>
      <w:r>
        <w:rPr>
          <w:rFonts w:ascii="Times New Roman" w:hAnsi="Times New Roman" w:eastAsia="宋体"/>
          <w:b/>
          <w:i w:val="0"/>
          <w:sz w:val="21"/>
        </w:rPr>
        <w:t>表5-4 双源场景结果（样本#1，A=0，c2=3，N=5 公共种子）</w:t>
      </w:r>
    </w:p>
    <w:p>
      <w:pPr>
        <w:spacing w:line="360" w:lineRule="auto" w:after="120"/>
        <w:ind w:firstLine="480"/>
      </w:pPr>
      <w:r>
        <w:rPr>
          <w:rFonts w:ascii="Times New Roman" w:hAnsi="Times New Roman" w:eastAsia="宋体"/>
          <w:b w:val="0"/>
          <w:i w:val="0"/>
          <w:sz w:val="24"/>
        </w:rPr>
        <w:t>观察①（应急渠道本身的经济价值）：仅用应急渠道的 NV（1490.59）大幅优于仅用常规渠道的 WNH（1865.98）。在本参数区 c2=3 远低于 b=5.6667，零提前期兜底的价值超过单价溢价——提示应急渠道的价值区间由 (b−c2)/(b+h) 的临界分位数控制。</w:t>
      </w:r>
    </w:p>
    <w:p>
      <w:pPr>
        <w:spacing w:line="360" w:lineRule="auto" w:after="120"/>
        <w:ind w:firstLine="480"/>
      </w:pPr>
      <w:r>
        <w:rPr>
          <w:rFonts w:ascii="Times New Roman" w:hAnsi="Times New Roman" w:eastAsia="宋体"/>
          <w:b w:val="0"/>
          <w:i w:val="0"/>
          <w:sz w:val="24"/>
        </w:rPr>
        <w:t>观察②（联合优于单渠道）：HEUR（1394.10）进一步优于任一单渠道策略，“常规保底＋应急兜底”的组合逻辑成立，但其改进幅度有限且方差仍大。</w:t>
      </w:r>
    </w:p>
    <w:p>
      <w:pPr>
        <w:spacing w:line="360" w:lineRule="auto" w:after="120"/>
        <w:ind w:firstLine="480"/>
      </w:pPr>
      <w:r>
        <w:rPr>
          <w:rFonts w:ascii="Times New Roman" w:hAnsi="Times New Roman" w:eastAsia="宋体"/>
          <w:b w:val="0"/>
          <w:i w:val="0"/>
          <w:sz w:val="24"/>
        </w:rPr>
        <w:t>观察③（DRL 的协同增益与稳健性，核心结论）：扩展 DRL 将成本进一步降至 1268.51，较 HEUR 降低 -9.01%、较 WNH 降低 -32.02%；五种策略中标准差最小（33.16 对 HEUR 的 46.08），显示学得的协同策略不仅均值更优而且跨种子更稳健。训练侧 16 个回合早停：批均成本由 1411.64 降至 1298.72，相对损失由 1.3989 降至 0.0004——对数尺度归零意味着系统性追平乃至跑赢教师（图5-2）；图5-3 给出两场景平均成本的直观对比。</w:t>
      </w:r>
    </w:p>
    <w:p>
      <w:pPr>
        <w:jc w:val="center"/>
      </w:pPr>
      <w:r>
        <w:drawing>
          <wp:inline xmlns:a="http://schemas.openxmlformats.org/drawingml/2006/main" xmlns:pic="http://schemas.openxmlformats.org/drawingml/2006/picture">
            <wp:extent cx="4206240" cy="3154680"/>
            <wp:docPr id="2" name="Picture 2"/>
            <wp:cNvGraphicFramePr>
              <a:graphicFrameLocks noChangeAspect="1"/>
            </wp:cNvGraphicFramePr>
            <a:graphic>
              <a:graphicData uri="http://schemas.openxmlformats.org/drawingml/2006/picture">
                <pic:pic>
                  <pic:nvPicPr>
                    <pic:cNvPr id="0" name="gap_dual_sample1.png"/>
                    <pic:cNvPicPr/>
                  </pic:nvPicPr>
                  <pic:blipFill>
                    <a:blip r:embed="rId10"/>
                    <a:stretch>
                      <a:fillRect/>
                    </a:stretch>
                  </pic:blipFill>
                  <pic:spPr>
                    <a:xfrm>
                      <a:off x="0" y="0"/>
                      <a:ext cx="4206240" cy="3154680"/>
                    </a:xfrm>
                    <a:prstGeom prst="rect"/>
                  </pic:spPr>
                </pic:pic>
              </a:graphicData>
            </a:graphic>
          </wp:inline>
        </w:drawing>
      </w:r>
    </w:p>
    <w:p>
      <w:pPr>
        <w:spacing w:line="288" w:lineRule="auto" w:before="80" w:after="120"/>
        <w:jc w:val="center"/>
      </w:pPr>
      <w:r>
        <w:rPr>
          <w:rFonts w:ascii="Times New Roman" w:hAnsi="Times New Roman" w:eastAsia="宋体"/>
          <w:b/>
          <w:i w:val="0"/>
          <w:sz w:val="21"/>
        </w:rPr>
        <w:t>图5-2 DRL-full 训练相对差距曲线</w:t>
      </w:r>
    </w:p>
    <w:p>
      <w:pPr>
        <w:jc w:val="center"/>
      </w:pPr>
      <w:r>
        <w:drawing>
          <wp:inline xmlns:a="http://schemas.openxmlformats.org/drawingml/2006/main" xmlns:pic="http://schemas.openxmlformats.org/drawingml/2006/picture">
            <wp:extent cx="5577840" cy="2295838"/>
            <wp:docPr id="3" name="Picture 3"/>
            <wp:cNvGraphicFramePr>
              <a:graphicFrameLocks noChangeAspect="1"/>
            </wp:cNvGraphicFramePr>
            <a:graphic>
              <a:graphicData uri="http://schemas.openxmlformats.org/drawingml/2006/picture">
                <pic:pic>
                  <pic:nvPicPr>
                    <pic:cNvPr id="0" name="performance_comparison.png"/>
                    <pic:cNvPicPr/>
                  </pic:nvPicPr>
                  <pic:blipFill>
                    <a:blip r:embed="rId11"/>
                    <a:stretch>
                      <a:fillRect/>
                    </a:stretch>
                  </pic:blipFill>
                  <pic:spPr>
                    <a:xfrm>
                      <a:off x="0" y="0"/>
                      <a:ext cx="5577840" cy="2295838"/>
                    </a:xfrm>
                    <a:prstGeom prst="rect"/>
                  </pic:spPr>
                </pic:pic>
              </a:graphicData>
            </a:graphic>
          </wp:inline>
        </w:drawing>
      </w:r>
    </w:p>
    <w:p>
      <w:pPr>
        <w:spacing w:line="288" w:lineRule="auto" w:before="80" w:after="120"/>
        <w:jc w:val="center"/>
      </w:pPr>
      <w:r>
        <w:rPr>
          <w:rFonts w:ascii="Times New Roman" w:hAnsi="Times New Roman" w:eastAsia="宋体"/>
          <w:b/>
          <w:i w:val="0"/>
          <w:sz w:val="21"/>
        </w:rPr>
        <w:t>图5-3 两场景各策略平均成本对比（右图纵轴局部放大）</w:t>
      </w:r>
    </w:p>
    <w:p>
      <w:pPr>
        <w:pStyle w:val="Heading2"/>
      </w:pPr>
      <w:r>
        <w:t>5.4 决策轨迹对比分析</w:t>
      </w:r>
    </w:p>
    <w:p>
      <w:pPr>
        <w:spacing w:line="360" w:lineRule="auto" w:after="120"/>
        <w:ind w:firstLine="480"/>
      </w:pPr>
      <w:r>
        <w:rPr>
          <w:rFonts w:ascii="Times New Roman" w:hAnsi="Times New Roman" w:eastAsia="宋体"/>
          <w:b w:val="0"/>
          <w:i w:val="0"/>
          <w:sz w:val="24"/>
        </w:rPr>
        <w:t>为揭示 DRL 相对教师的改进来源，本节沿用原论文附录B“订货行为分析”的传统：analyze_trace.py 在同一种子对上逐期记录两种策略的完整决策轨迹（test/trace_HEUR.csv 与 trace_DRL.csv），plot_traces.py 绘制三期联图（图5-4）；状态空间级的热力图对比留作全网格运行后的扩展分析。前三个周期的对比如表5-5。</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shd w:val="clear" w:fill="D9D9D9"/>
          </w:tcPr>
          <w:p>
            <w:pPr>
              <w:jc w:val="center"/>
            </w:pPr>
            <w:r>
              <w:rPr>
                <w:rFonts w:ascii="Times New Roman" w:hAnsi="Times New Roman" w:eastAsia="宋体"/>
                <w:b/>
                <w:i w:val="0"/>
                <w:sz w:val="21"/>
              </w:rPr>
              <w:t>策略</w:t>
            </w:r>
          </w:p>
        </w:tc>
        <w:tc>
          <w:tcPr>
            <w:tcW w:type="dxa" w:w="1039"/>
            <w:shd w:val="clear" w:fill="D9D9D9"/>
          </w:tcPr>
          <w:p>
            <w:pPr>
              <w:jc w:val="center"/>
            </w:pPr>
            <w:r>
              <w:rPr>
                <w:rFonts w:ascii="Times New Roman" w:hAnsi="Times New Roman" w:eastAsia="宋体"/>
                <w:b/>
                <w:i w:val="0"/>
                <w:sz w:val="21"/>
              </w:rPr>
              <w:t>t</w:t>
            </w:r>
          </w:p>
        </w:tc>
        <w:tc>
          <w:tcPr>
            <w:tcW w:type="dxa" w:w="1039"/>
            <w:shd w:val="clear" w:fill="D9D9D9"/>
          </w:tcPr>
          <w:p>
            <w:pPr>
              <w:jc w:val="center"/>
            </w:pPr>
            <w:r>
              <w:rPr>
                <w:rFonts w:ascii="Times New Roman" w:hAnsi="Times New Roman" w:eastAsia="宋体"/>
                <w:b/>
                <w:i w:val="0"/>
                <w:sz w:val="21"/>
              </w:rPr>
              <w:t>需求 D_t</w:t>
            </w:r>
          </w:p>
        </w:tc>
        <w:tc>
          <w:tcPr>
            <w:tcW w:type="dxa" w:w="1039"/>
            <w:shd w:val="clear" w:fill="D9D9D9"/>
          </w:tcPr>
          <w:p>
            <w:pPr>
              <w:jc w:val="center"/>
            </w:pPr>
            <w:r>
              <w:rPr>
                <w:rFonts w:ascii="Times New Roman" w:hAnsi="Times New Roman" w:eastAsia="宋体"/>
                <w:b/>
                <w:i w:val="0"/>
                <w:sz w:val="21"/>
              </w:rPr>
              <w:t>良率 y_t</w:t>
            </w:r>
          </w:p>
        </w:tc>
        <w:tc>
          <w:tcPr>
            <w:tcW w:type="dxa" w:w="1039"/>
            <w:shd w:val="clear" w:fill="D9D9D9"/>
          </w:tcPr>
          <w:p>
            <w:pPr>
              <w:jc w:val="center"/>
            </w:pPr>
            <w:r>
              <w:rPr>
                <w:rFonts w:ascii="Times New Roman" w:hAnsi="Times New Roman" w:eastAsia="宋体"/>
                <w:b/>
                <w:i w:val="0"/>
                <w:sz w:val="21"/>
              </w:rPr>
              <w:t>常规 q1</w:t>
            </w:r>
          </w:p>
        </w:tc>
        <w:tc>
          <w:tcPr>
            <w:tcW w:type="dxa" w:w="1039"/>
            <w:shd w:val="clear" w:fill="D9D9D9"/>
          </w:tcPr>
          <w:p>
            <w:pPr>
              <w:jc w:val="center"/>
            </w:pPr>
            <w:r>
              <w:rPr>
                <w:rFonts w:ascii="Times New Roman" w:hAnsi="Times New Roman" w:eastAsia="宋体"/>
                <w:b/>
                <w:i w:val="0"/>
                <w:sz w:val="21"/>
              </w:rPr>
              <w:t>应急 q2</w:t>
            </w:r>
          </w:p>
        </w:tc>
        <w:tc>
          <w:tcPr>
            <w:tcW w:type="dxa" w:w="1039"/>
            <w:shd w:val="clear" w:fill="D9D9D9"/>
          </w:tcPr>
          <w:p>
            <w:pPr>
              <w:jc w:val="center"/>
            </w:pPr>
            <w:r>
              <w:rPr>
                <w:rFonts w:ascii="Times New Roman" w:hAnsi="Times New Roman" w:eastAsia="宋体"/>
                <w:b/>
                <w:i w:val="0"/>
                <w:sz w:val="21"/>
              </w:rPr>
              <w:t>期末库存 I</w:t>
            </w:r>
          </w:p>
        </w:tc>
        <w:tc>
          <w:tcPr>
            <w:tcW w:type="dxa" w:w="1039"/>
            <w:shd w:val="clear" w:fill="D9D9D9"/>
          </w:tcPr>
          <w:p>
            <w:pPr>
              <w:jc w:val="center"/>
            </w:pPr>
            <w:r>
              <w:rPr>
                <w:rFonts w:ascii="Times New Roman" w:hAnsi="Times New Roman" w:eastAsia="宋体"/>
                <w:b/>
                <w:i w:val="0"/>
                <w:sz w:val="21"/>
              </w:rPr>
              <w:t>当期成本</w:t>
            </w:r>
          </w:p>
        </w:tc>
      </w:tr>
      <w:tr>
        <w:tc>
          <w:tcPr>
            <w:tcW w:type="dxa" w:w="1039"/>
          </w:tcPr>
          <w:p>
            <w:pPr>
              <w:jc w:val="left"/>
            </w:pPr>
            <w:r>
              <w:rPr>
                <w:rFonts w:ascii="Times New Roman" w:hAnsi="Times New Roman" w:eastAsia="宋体"/>
                <w:b w:val="0"/>
                <w:i w:val="0"/>
                <w:sz w:val="21"/>
              </w:rPr>
              <w:t>HEUR</w:t>
            </w:r>
          </w:p>
        </w:tc>
        <w:tc>
          <w:tcPr>
            <w:tcW w:type="dxa" w:w="1039"/>
          </w:tcPr>
          <w:p>
            <w:pPr>
              <w:jc w:val="center"/>
            </w:pPr>
            <w:r>
              <w:rPr>
                <w:rFonts w:ascii="Times New Roman" w:hAnsi="Times New Roman" w:eastAsia="宋体"/>
                <w:b w:val="0"/>
                <w:i w:val="0"/>
                <w:sz w:val="21"/>
              </w:rPr>
              <w:t>0</w:t>
            </w:r>
          </w:p>
        </w:tc>
        <w:tc>
          <w:tcPr>
            <w:tcW w:type="dxa" w:w="1039"/>
          </w:tcPr>
          <w:p>
            <w:pPr>
              <w:jc w:val="center"/>
            </w:pPr>
            <w:r>
              <w:rPr>
                <w:rFonts w:ascii="Times New Roman" w:hAnsi="Times New Roman" w:eastAsia="宋体"/>
                <w:b w:val="0"/>
                <w:i w:val="0"/>
                <w:sz w:val="21"/>
              </w:rPr>
              <w:t>4.46</w:t>
            </w:r>
          </w:p>
        </w:tc>
        <w:tc>
          <w:tcPr>
            <w:tcW w:type="dxa" w:w="1039"/>
          </w:tcPr>
          <w:p>
            <w:pPr>
              <w:jc w:val="center"/>
            </w:pPr>
            <w:r>
              <w:rPr>
                <w:rFonts w:ascii="Times New Roman" w:hAnsi="Times New Roman" w:eastAsia="宋体"/>
                <w:b w:val="0"/>
                <w:i w:val="0"/>
                <w:sz w:val="21"/>
              </w:rPr>
              <w:t>0</w:t>
            </w:r>
          </w:p>
        </w:tc>
        <w:tc>
          <w:tcPr>
            <w:tcW w:type="dxa" w:w="1039"/>
          </w:tcPr>
          <w:p>
            <w:pPr>
              <w:jc w:val="center"/>
            </w:pPr>
            <w:r>
              <w:rPr>
                <w:rFonts w:ascii="Times New Roman" w:hAnsi="Times New Roman" w:eastAsia="宋体"/>
                <w:b w:val="0"/>
                <w:i w:val="0"/>
                <w:sz w:val="21"/>
              </w:rPr>
              <w:t>43.43</w:t>
            </w:r>
          </w:p>
        </w:tc>
        <w:tc>
          <w:tcPr>
            <w:tcW w:type="dxa" w:w="1039"/>
          </w:tcPr>
          <w:p>
            <w:pPr>
              <w:jc w:val="center"/>
            </w:pPr>
            <w:r>
              <w:rPr>
                <w:rFonts w:ascii="Times New Roman" w:hAnsi="Times New Roman" w:eastAsia="宋体"/>
                <w:b w:val="0"/>
                <w:i w:val="0"/>
                <w:sz w:val="21"/>
              </w:rPr>
              <w:t>9.49</w:t>
            </w:r>
          </w:p>
        </w:tc>
        <w:tc>
          <w:tcPr>
            <w:tcW w:type="dxa" w:w="1039"/>
          </w:tcPr>
          <w:p>
            <w:pPr>
              <w:jc w:val="center"/>
            </w:pPr>
            <w:r>
              <w:rPr>
                <w:rFonts w:ascii="Times New Roman" w:hAnsi="Times New Roman" w:eastAsia="宋体"/>
                <w:b w:val="0"/>
                <w:i w:val="0"/>
                <w:sz w:val="21"/>
              </w:rPr>
              <w:t>5.03</w:t>
            </w:r>
          </w:p>
        </w:tc>
        <w:tc>
          <w:tcPr>
            <w:tcW w:type="dxa" w:w="1039"/>
          </w:tcPr>
          <w:p>
            <w:pPr>
              <w:jc w:val="center"/>
            </w:pPr>
            <w:r>
              <w:rPr>
                <w:rFonts w:ascii="Times New Roman" w:hAnsi="Times New Roman" w:eastAsia="宋体"/>
                <w:b w:val="0"/>
                <w:i w:val="0"/>
                <w:sz w:val="21"/>
              </w:rPr>
              <w:t>33.51</w:t>
            </w:r>
          </w:p>
        </w:tc>
      </w:tr>
      <w:tr>
        <w:tc>
          <w:tcPr>
            <w:tcW w:type="dxa" w:w="1039"/>
          </w:tcPr>
          <w:p>
            <w:pPr>
              <w:jc w:val="left"/>
            </w:pPr>
            <w:r>
              <w:rPr>
                <w:rFonts w:ascii="Times New Roman" w:hAnsi="Times New Roman" w:eastAsia="宋体"/>
                <w:b w:val="0"/>
                <w:i w:val="0"/>
                <w:sz w:val="21"/>
              </w:rPr>
              <w:t>HEUR</w:t>
            </w:r>
          </w:p>
        </w:tc>
        <w:tc>
          <w:tcPr>
            <w:tcW w:type="dxa" w:w="1039"/>
          </w:tcPr>
          <w:p>
            <w:pPr>
              <w:jc w:val="center"/>
            </w:pPr>
            <w:r>
              <w:rPr>
                <w:rFonts w:ascii="Times New Roman" w:hAnsi="Times New Roman" w:eastAsia="宋体"/>
                <w:b w:val="0"/>
                <w:i w:val="0"/>
                <w:sz w:val="21"/>
              </w:rPr>
              <w:t>1</w:t>
            </w:r>
          </w:p>
        </w:tc>
        <w:tc>
          <w:tcPr>
            <w:tcW w:type="dxa" w:w="1039"/>
          </w:tcPr>
          <w:p>
            <w:pPr>
              <w:jc w:val="center"/>
            </w:pPr>
            <w:r>
              <w:rPr>
                <w:rFonts w:ascii="Times New Roman" w:hAnsi="Times New Roman" w:eastAsia="宋体"/>
                <w:b w:val="0"/>
                <w:i w:val="0"/>
                <w:sz w:val="21"/>
              </w:rPr>
              <w:t>12.75</w:t>
            </w:r>
          </w:p>
        </w:tc>
        <w:tc>
          <w:tcPr>
            <w:tcW w:type="dxa" w:w="1039"/>
          </w:tcPr>
          <w:p>
            <w:pPr>
              <w:jc w:val="center"/>
            </w:pPr>
            <w:r>
              <w:rPr>
                <w:rFonts w:ascii="Times New Roman" w:hAnsi="Times New Roman" w:eastAsia="宋体"/>
                <w:b w:val="0"/>
                <w:i w:val="0"/>
                <w:sz w:val="21"/>
              </w:rPr>
              <w:t>1</w:t>
            </w:r>
          </w:p>
        </w:tc>
        <w:tc>
          <w:tcPr>
            <w:tcW w:type="dxa" w:w="1039"/>
          </w:tcPr>
          <w:p>
            <w:pPr>
              <w:jc w:val="center"/>
            </w:pPr>
            <w:r>
              <w:rPr>
                <w:rFonts w:ascii="Times New Roman" w:hAnsi="Times New Roman" w:eastAsia="宋体"/>
                <w:b w:val="0"/>
                <w:i w:val="0"/>
                <w:sz w:val="21"/>
              </w:rPr>
              <w:t>11.52</w:t>
            </w:r>
          </w:p>
        </w:tc>
        <w:tc>
          <w:tcPr>
            <w:tcW w:type="dxa" w:w="1039"/>
          </w:tcPr>
          <w:p>
            <w:pPr>
              <w:jc w:val="center"/>
            </w:pPr>
            <w:r>
              <w:rPr>
                <w:rFonts w:ascii="Times New Roman" w:hAnsi="Times New Roman" w:eastAsia="宋体"/>
                <w:b w:val="0"/>
                <w:i w:val="0"/>
                <w:sz w:val="21"/>
              </w:rPr>
              <w:t>4.46</w:t>
            </w:r>
          </w:p>
        </w:tc>
        <w:tc>
          <w:tcPr>
            <w:tcW w:type="dxa" w:w="1039"/>
          </w:tcPr>
          <w:p>
            <w:pPr>
              <w:jc w:val="center"/>
            </w:pPr>
            <w:r>
              <w:rPr>
                <w:rFonts w:ascii="Times New Roman" w:hAnsi="Times New Roman" w:eastAsia="宋体"/>
                <w:b w:val="0"/>
                <w:i w:val="0"/>
                <w:sz w:val="21"/>
              </w:rPr>
              <w:t>-3.26</w:t>
            </w:r>
          </w:p>
        </w:tc>
        <w:tc>
          <w:tcPr>
            <w:tcW w:type="dxa" w:w="1039"/>
          </w:tcPr>
          <w:p>
            <w:pPr>
              <w:jc w:val="center"/>
            </w:pPr>
            <w:r>
              <w:rPr>
                <w:rFonts w:ascii="Times New Roman" w:hAnsi="Times New Roman" w:eastAsia="宋体"/>
                <w:b w:val="0"/>
                <w:i w:val="0"/>
                <w:sz w:val="21"/>
              </w:rPr>
              <w:t>31.52</w:t>
            </w:r>
          </w:p>
        </w:tc>
      </w:tr>
      <w:tr>
        <w:tc>
          <w:tcPr>
            <w:tcW w:type="dxa" w:w="1039"/>
          </w:tcPr>
          <w:p>
            <w:pPr>
              <w:jc w:val="left"/>
            </w:pPr>
            <w:r>
              <w:rPr>
                <w:rFonts w:ascii="Times New Roman" w:hAnsi="Times New Roman" w:eastAsia="宋体"/>
                <w:b w:val="0"/>
                <w:i w:val="0"/>
                <w:sz w:val="21"/>
              </w:rPr>
              <w:t>HEUR</w:t>
            </w:r>
          </w:p>
        </w:tc>
        <w:tc>
          <w:tcPr>
            <w:tcW w:type="dxa" w:w="1039"/>
          </w:tcPr>
          <w:p>
            <w:pPr>
              <w:jc w:val="center"/>
            </w:pPr>
            <w:r>
              <w:rPr>
                <w:rFonts w:ascii="Times New Roman" w:hAnsi="Times New Roman" w:eastAsia="宋体"/>
                <w:b w:val="0"/>
                <w:i w:val="0"/>
                <w:sz w:val="21"/>
              </w:rPr>
              <w:t>2</w:t>
            </w:r>
          </w:p>
        </w:tc>
        <w:tc>
          <w:tcPr>
            <w:tcW w:type="dxa" w:w="1039"/>
          </w:tcPr>
          <w:p>
            <w:pPr>
              <w:jc w:val="center"/>
            </w:pPr>
            <w:r>
              <w:rPr>
                <w:rFonts w:ascii="Times New Roman" w:hAnsi="Times New Roman" w:eastAsia="宋体"/>
                <w:b w:val="0"/>
                <w:i w:val="0"/>
                <w:sz w:val="21"/>
              </w:rPr>
              <w:t>12.04</w:t>
            </w:r>
          </w:p>
        </w:tc>
        <w:tc>
          <w:tcPr>
            <w:tcW w:type="dxa" w:w="1039"/>
          </w:tcPr>
          <w:p>
            <w:pPr>
              <w:jc w:val="center"/>
            </w:pPr>
            <w:r>
              <w:rPr>
                <w:rFonts w:ascii="Times New Roman" w:hAnsi="Times New Roman" w:eastAsia="宋体"/>
                <w:b w:val="0"/>
                <w:i w:val="0"/>
                <w:sz w:val="21"/>
              </w:rPr>
              <w:t>1</w:t>
            </w:r>
          </w:p>
        </w:tc>
        <w:tc>
          <w:tcPr>
            <w:tcW w:type="dxa" w:w="1039"/>
          </w:tcPr>
          <w:p>
            <w:pPr>
              <w:jc w:val="center"/>
            </w:pPr>
            <w:r>
              <w:rPr>
                <w:rFonts w:ascii="Times New Roman" w:hAnsi="Times New Roman" w:eastAsia="宋体"/>
                <w:b w:val="0"/>
                <w:i w:val="0"/>
                <w:sz w:val="21"/>
              </w:rPr>
              <w:t>0.98</w:t>
            </w:r>
          </w:p>
        </w:tc>
        <w:tc>
          <w:tcPr>
            <w:tcW w:type="dxa" w:w="1039"/>
          </w:tcPr>
          <w:p>
            <w:pPr>
              <w:jc w:val="center"/>
            </w:pPr>
            <w:r>
              <w:rPr>
                <w:rFonts w:ascii="Times New Roman" w:hAnsi="Times New Roman" w:eastAsia="宋体"/>
                <w:b w:val="0"/>
                <w:i w:val="0"/>
                <w:sz w:val="21"/>
              </w:rPr>
              <w:t>0.00</w:t>
            </w:r>
          </w:p>
        </w:tc>
        <w:tc>
          <w:tcPr>
            <w:tcW w:type="dxa" w:w="1039"/>
          </w:tcPr>
          <w:p>
            <w:pPr>
              <w:jc w:val="center"/>
            </w:pPr>
            <w:r>
              <w:rPr>
                <w:rFonts w:ascii="Times New Roman" w:hAnsi="Times New Roman" w:eastAsia="宋体"/>
                <w:b w:val="0"/>
                <w:i w:val="0"/>
                <w:sz w:val="21"/>
              </w:rPr>
              <w:t>28.14</w:t>
            </w:r>
          </w:p>
        </w:tc>
        <w:tc>
          <w:tcPr>
            <w:tcW w:type="dxa" w:w="1039"/>
          </w:tcPr>
          <w:p>
            <w:pPr>
              <w:jc w:val="center"/>
            </w:pPr>
            <w:r>
              <w:rPr>
                <w:rFonts w:ascii="Times New Roman" w:hAnsi="Times New Roman" w:eastAsia="宋体"/>
                <w:b w:val="0"/>
                <w:i w:val="0"/>
                <w:sz w:val="21"/>
              </w:rPr>
              <w:t>112.72</w:t>
            </w:r>
          </w:p>
        </w:tc>
      </w:tr>
      <w:tr>
        <w:tc>
          <w:tcPr>
            <w:tcW w:type="dxa" w:w="1039"/>
          </w:tcPr>
          <w:p>
            <w:pPr>
              <w:jc w:val="left"/>
            </w:pPr>
            <w:r>
              <w:rPr>
                <w:rFonts w:ascii="Times New Roman" w:hAnsi="Times New Roman" w:eastAsia="宋体"/>
                <w:b w:val="0"/>
                <w:i w:val="0"/>
                <w:sz w:val="21"/>
              </w:rPr>
              <w:t>DRL</w:t>
            </w:r>
          </w:p>
        </w:tc>
        <w:tc>
          <w:tcPr>
            <w:tcW w:type="dxa" w:w="1039"/>
          </w:tcPr>
          <w:p>
            <w:pPr>
              <w:jc w:val="center"/>
            </w:pPr>
            <w:r>
              <w:rPr>
                <w:rFonts w:ascii="Times New Roman" w:hAnsi="Times New Roman" w:eastAsia="宋体"/>
                <w:b w:val="0"/>
                <w:i w:val="0"/>
                <w:sz w:val="21"/>
              </w:rPr>
              <w:t>0</w:t>
            </w:r>
          </w:p>
        </w:tc>
        <w:tc>
          <w:tcPr>
            <w:tcW w:type="dxa" w:w="1039"/>
          </w:tcPr>
          <w:p>
            <w:pPr>
              <w:jc w:val="center"/>
            </w:pPr>
            <w:r>
              <w:rPr>
                <w:rFonts w:ascii="Times New Roman" w:hAnsi="Times New Roman" w:eastAsia="宋体"/>
                <w:b w:val="0"/>
                <w:i w:val="0"/>
                <w:sz w:val="21"/>
              </w:rPr>
              <w:t>4.46</w:t>
            </w:r>
          </w:p>
        </w:tc>
        <w:tc>
          <w:tcPr>
            <w:tcW w:type="dxa" w:w="1039"/>
          </w:tcPr>
          <w:p>
            <w:pPr>
              <w:jc w:val="center"/>
            </w:pPr>
            <w:r>
              <w:rPr>
                <w:rFonts w:ascii="Times New Roman" w:hAnsi="Times New Roman" w:eastAsia="宋体"/>
                <w:b w:val="0"/>
                <w:i w:val="0"/>
                <w:sz w:val="21"/>
              </w:rPr>
              <w:t>0</w:t>
            </w:r>
          </w:p>
        </w:tc>
        <w:tc>
          <w:tcPr>
            <w:tcW w:type="dxa" w:w="1039"/>
          </w:tcPr>
          <w:p>
            <w:pPr>
              <w:jc w:val="center"/>
            </w:pPr>
            <w:r>
              <w:rPr>
                <w:rFonts w:ascii="Times New Roman" w:hAnsi="Times New Roman" w:eastAsia="宋体"/>
                <w:b w:val="0"/>
                <w:i w:val="0"/>
                <w:sz w:val="21"/>
              </w:rPr>
              <w:t>39.74</w:t>
            </w:r>
          </w:p>
        </w:tc>
        <w:tc>
          <w:tcPr>
            <w:tcW w:type="dxa" w:w="1039"/>
          </w:tcPr>
          <w:p>
            <w:pPr>
              <w:jc w:val="center"/>
            </w:pPr>
            <w:r>
              <w:rPr>
                <w:rFonts w:ascii="Times New Roman" w:hAnsi="Times New Roman" w:eastAsia="宋体"/>
                <w:b w:val="0"/>
                <w:i w:val="0"/>
                <w:sz w:val="21"/>
              </w:rPr>
              <w:t>9.70</w:t>
            </w:r>
          </w:p>
        </w:tc>
        <w:tc>
          <w:tcPr>
            <w:tcW w:type="dxa" w:w="1039"/>
          </w:tcPr>
          <w:p>
            <w:pPr>
              <w:jc w:val="center"/>
            </w:pPr>
            <w:r>
              <w:rPr>
                <w:rFonts w:ascii="Times New Roman" w:hAnsi="Times New Roman" w:eastAsia="宋体"/>
                <w:b w:val="0"/>
                <w:i w:val="0"/>
                <w:sz w:val="21"/>
              </w:rPr>
              <w:t>5.24</w:t>
            </w:r>
          </w:p>
        </w:tc>
        <w:tc>
          <w:tcPr>
            <w:tcW w:type="dxa" w:w="1039"/>
          </w:tcPr>
          <w:p>
            <w:pPr>
              <w:jc w:val="center"/>
            </w:pPr>
            <w:r>
              <w:rPr>
                <w:rFonts w:ascii="Times New Roman" w:hAnsi="Times New Roman" w:eastAsia="宋体"/>
                <w:b w:val="0"/>
                <w:i w:val="0"/>
                <w:sz w:val="21"/>
              </w:rPr>
              <w:t>34.35</w:t>
            </w:r>
          </w:p>
        </w:tc>
      </w:tr>
      <w:tr>
        <w:tc>
          <w:tcPr>
            <w:tcW w:type="dxa" w:w="1039"/>
          </w:tcPr>
          <w:p>
            <w:pPr>
              <w:jc w:val="left"/>
            </w:pPr>
            <w:r>
              <w:rPr>
                <w:rFonts w:ascii="Times New Roman" w:hAnsi="Times New Roman" w:eastAsia="宋体"/>
                <w:b w:val="0"/>
                <w:i w:val="0"/>
                <w:sz w:val="21"/>
              </w:rPr>
              <w:t>DRL</w:t>
            </w:r>
          </w:p>
        </w:tc>
        <w:tc>
          <w:tcPr>
            <w:tcW w:type="dxa" w:w="1039"/>
          </w:tcPr>
          <w:p>
            <w:pPr>
              <w:jc w:val="center"/>
            </w:pPr>
            <w:r>
              <w:rPr>
                <w:rFonts w:ascii="Times New Roman" w:hAnsi="Times New Roman" w:eastAsia="宋体"/>
                <w:b w:val="0"/>
                <w:i w:val="0"/>
                <w:sz w:val="21"/>
              </w:rPr>
              <w:t>1</w:t>
            </w:r>
          </w:p>
        </w:tc>
        <w:tc>
          <w:tcPr>
            <w:tcW w:type="dxa" w:w="1039"/>
          </w:tcPr>
          <w:p>
            <w:pPr>
              <w:jc w:val="center"/>
            </w:pPr>
            <w:r>
              <w:rPr>
                <w:rFonts w:ascii="Times New Roman" w:hAnsi="Times New Roman" w:eastAsia="宋体"/>
                <w:b w:val="0"/>
                <w:i w:val="0"/>
                <w:sz w:val="21"/>
              </w:rPr>
              <w:t>12.75</w:t>
            </w:r>
          </w:p>
        </w:tc>
        <w:tc>
          <w:tcPr>
            <w:tcW w:type="dxa" w:w="1039"/>
          </w:tcPr>
          <w:p>
            <w:pPr>
              <w:jc w:val="center"/>
            </w:pPr>
            <w:r>
              <w:rPr>
                <w:rFonts w:ascii="Times New Roman" w:hAnsi="Times New Roman" w:eastAsia="宋体"/>
                <w:b w:val="0"/>
                <w:i w:val="0"/>
                <w:sz w:val="21"/>
              </w:rPr>
              <w:t>1</w:t>
            </w:r>
          </w:p>
        </w:tc>
        <w:tc>
          <w:tcPr>
            <w:tcW w:type="dxa" w:w="1039"/>
          </w:tcPr>
          <w:p>
            <w:pPr>
              <w:jc w:val="center"/>
            </w:pPr>
            <w:r>
              <w:rPr>
                <w:rFonts w:ascii="Times New Roman" w:hAnsi="Times New Roman" w:eastAsia="宋体"/>
                <w:b w:val="0"/>
                <w:i w:val="0"/>
                <w:sz w:val="21"/>
              </w:rPr>
              <w:t>3.32</w:t>
            </w:r>
          </w:p>
        </w:tc>
        <w:tc>
          <w:tcPr>
            <w:tcW w:type="dxa" w:w="1039"/>
          </w:tcPr>
          <w:p>
            <w:pPr>
              <w:jc w:val="center"/>
            </w:pPr>
            <w:r>
              <w:rPr>
                <w:rFonts w:ascii="Times New Roman" w:hAnsi="Times New Roman" w:eastAsia="宋体"/>
                <w:b w:val="0"/>
                <w:i w:val="0"/>
                <w:sz w:val="21"/>
              </w:rPr>
              <w:t>5.84</w:t>
            </w:r>
          </w:p>
        </w:tc>
        <w:tc>
          <w:tcPr>
            <w:tcW w:type="dxa" w:w="1039"/>
          </w:tcPr>
          <w:p>
            <w:pPr>
              <w:jc w:val="center"/>
            </w:pPr>
            <w:r>
              <w:rPr>
                <w:rFonts w:ascii="Times New Roman" w:hAnsi="Times New Roman" w:eastAsia="宋体"/>
                <w:b w:val="0"/>
                <w:i w:val="0"/>
                <w:sz w:val="21"/>
              </w:rPr>
              <w:t>-1.67</w:t>
            </w:r>
          </w:p>
        </w:tc>
        <w:tc>
          <w:tcPr>
            <w:tcW w:type="dxa" w:w="1039"/>
          </w:tcPr>
          <w:p>
            <w:pPr>
              <w:jc w:val="center"/>
            </w:pPr>
            <w:r>
              <w:rPr>
                <w:rFonts w:ascii="Times New Roman" w:hAnsi="Times New Roman" w:eastAsia="宋体"/>
                <w:b w:val="0"/>
                <w:i w:val="0"/>
                <w:sz w:val="21"/>
              </w:rPr>
              <w:t>26.70</w:t>
            </w:r>
          </w:p>
        </w:tc>
      </w:tr>
      <w:tr>
        <w:tc>
          <w:tcPr>
            <w:tcW w:type="dxa" w:w="1039"/>
          </w:tcPr>
          <w:p>
            <w:pPr>
              <w:jc w:val="left"/>
            </w:pPr>
            <w:r>
              <w:rPr>
                <w:rFonts w:ascii="Times New Roman" w:hAnsi="Times New Roman" w:eastAsia="宋体"/>
                <w:b w:val="0"/>
                <w:i w:val="0"/>
                <w:sz w:val="21"/>
              </w:rPr>
              <w:t>DRL</w:t>
            </w:r>
          </w:p>
        </w:tc>
        <w:tc>
          <w:tcPr>
            <w:tcW w:type="dxa" w:w="1039"/>
          </w:tcPr>
          <w:p>
            <w:pPr>
              <w:jc w:val="center"/>
            </w:pPr>
            <w:r>
              <w:rPr>
                <w:rFonts w:ascii="Times New Roman" w:hAnsi="Times New Roman" w:eastAsia="宋体"/>
                <w:b w:val="0"/>
                <w:i w:val="0"/>
                <w:sz w:val="21"/>
              </w:rPr>
              <w:t>2</w:t>
            </w:r>
          </w:p>
        </w:tc>
        <w:tc>
          <w:tcPr>
            <w:tcW w:type="dxa" w:w="1039"/>
          </w:tcPr>
          <w:p>
            <w:pPr>
              <w:jc w:val="center"/>
            </w:pPr>
            <w:r>
              <w:rPr>
                <w:rFonts w:ascii="Times New Roman" w:hAnsi="Times New Roman" w:eastAsia="宋体"/>
                <w:b w:val="0"/>
                <w:i w:val="0"/>
                <w:sz w:val="21"/>
              </w:rPr>
              <w:t>12.04</w:t>
            </w:r>
          </w:p>
        </w:tc>
        <w:tc>
          <w:tcPr>
            <w:tcW w:type="dxa" w:w="1039"/>
          </w:tcPr>
          <w:p>
            <w:pPr>
              <w:jc w:val="center"/>
            </w:pPr>
            <w:r>
              <w:rPr>
                <w:rFonts w:ascii="Times New Roman" w:hAnsi="Times New Roman" w:eastAsia="宋体"/>
                <w:b w:val="0"/>
                <w:i w:val="0"/>
                <w:sz w:val="21"/>
              </w:rPr>
              <w:t>1</w:t>
            </w:r>
          </w:p>
        </w:tc>
        <w:tc>
          <w:tcPr>
            <w:tcW w:type="dxa" w:w="1039"/>
          </w:tcPr>
          <w:p>
            <w:pPr>
              <w:jc w:val="center"/>
            </w:pPr>
            <w:r>
              <w:rPr>
                <w:rFonts w:ascii="Times New Roman" w:hAnsi="Times New Roman" w:eastAsia="宋体"/>
                <w:b w:val="0"/>
                <w:i w:val="0"/>
                <w:sz w:val="21"/>
              </w:rPr>
              <w:t>1.76</w:t>
            </w:r>
          </w:p>
        </w:tc>
        <w:tc>
          <w:tcPr>
            <w:tcW w:type="dxa" w:w="1039"/>
          </w:tcPr>
          <w:p>
            <w:pPr>
              <w:jc w:val="center"/>
            </w:pPr>
            <w:r>
              <w:rPr>
                <w:rFonts w:ascii="Times New Roman" w:hAnsi="Times New Roman" w:eastAsia="宋体"/>
                <w:b w:val="0"/>
                <w:i w:val="0"/>
                <w:sz w:val="21"/>
              </w:rPr>
              <w:t>0.00</w:t>
            </w:r>
          </w:p>
        </w:tc>
        <w:tc>
          <w:tcPr>
            <w:tcW w:type="dxa" w:w="1039"/>
          </w:tcPr>
          <w:p>
            <w:pPr>
              <w:jc w:val="center"/>
            </w:pPr>
            <w:r>
              <w:rPr>
                <w:rFonts w:ascii="Times New Roman" w:hAnsi="Times New Roman" w:eastAsia="宋体"/>
                <w:b w:val="0"/>
                <w:i w:val="0"/>
                <w:sz w:val="21"/>
              </w:rPr>
              <w:t>26.03</w:t>
            </w:r>
          </w:p>
        </w:tc>
        <w:tc>
          <w:tcPr>
            <w:tcW w:type="dxa" w:w="1039"/>
          </w:tcPr>
          <w:p>
            <w:pPr>
              <w:jc w:val="center"/>
            </w:pPr>
            <w:r>
              <w:rPr>
                <w:rFonts w:ascii="Times New Roman" w:hAnsi="Times New Roman" w:eastAsia="宋体"/>
                <w:b w:val="0"/>
                <w:i w:val="0"/>
                <w:sz w:val="21"/>
              </w:rPr>
              <w:t>103.40</w:t>
            </w:r>
          </w:p>
        </w:tc>
      </w:tr>
    </w:tbl>
    <w:p>
      <w:pPr>
        <w:spacing w:after="0"/>
      </w:pPr>
    </w:p>
    <w:p>
      <w:pPr>
        <w:spacing w:line="288" w:lineRule="auto" w:before="80" w:after="120"/>
        <w:jc w:val="center"/>
      </w:pPr>
      <w:r>
        <w:rPr>
          <w:rFonts w:ascii="Times New Roman" w:hAnsi="Times New Roman" w:eastAsia="宋体"/>
          <w:b/>
          <w:i w:val="0"/>
          <w:sz w:val="21"/>
        </w:rPr>
        <w:t>表5-5 同种子下前 3 期决策轨迹摘录（trace_*.csv）</w:t>
      </w:r>
    </w:p>
    <w:p>
      <w:pPr>
        <w:spacing w:line="360" w:lineRule="auto" w:after="120"/>
        <w:ind w:firstLine="480"/>
      </w:pPr>
      <w:r>
        <w:rPr>
          <w:rFonts w:ascii="Times New Roman" w:hAnsi="Times New Roman" w:eastAsia="宋体"/>
          <w:b w:val="0"/>
          <w:i w:val="0"/>
          <w:sz w:val="24"/>
        </w:rPr>
        <w:t>轨迹显示 DRL 学到了与教师结构性不同的协同模式：第 0 期 DRL 少订常规（39.74 对 43.43），把更多补足留给后续灵活调整；第 1 期观察到良率失败（y₀=0）后，DRL 显著压缩常规追加量（3.32 对 11.52）而加大应急精准兜底（5.84 对 4.46），避免在良率不确定时过早锁定长提前期库存；第 2 期常规大批到货后两者都停止应急订货。整个回合 DRL 未折现累计成本 1262.65，低于 HEUR 的 1409.88（图5-4 第三子图）。这一“常规降库、应急兜底、时机后置”的模式即方案文档预期的非线性协同行为，是简单叠加两个静态启发式难以实现的——与原文附录B“DRL 通过非线性表达更聪明地调整订货量”的行为学结论形成跨场景呼应。</w:t>
      </w:r>
    </w:p>
    <w:p>
      <w:pPr>
        <w:jc w:val="center"/>
      </w:pPr>
      <w:r>
        <w:drawing>
          <wp:inline xmlns:a="http://schemas.openxmlformats.org/drawingml/2006/main" xmlns:pic="http://schemas.openxmlformats.org/drawingml/2006/picture">
            <wp:extent cx="5120640" cy="5978623"/>
            <wp:docPr id="4" name="Picture 4"/>
            <wp:cNvGraphicFramePr>
              <a:graphicFrameLocks noChangeAspect="1"/>
            </wp:cNvGraphicFramePr>
            <a:graphic>
              <a:graphicData uri="http://schemas.openxmlformats.org/drawingml/2006/picture">
                <pic:pic>
                  <pic:nvPicPr>
                    <pic:cNvPr id="0" name="trace_comparison.png"/>
                    <pic:cNvPicPr/>
                  </pic:nvPicPr>
                  <pic:blipFill>
                    <a:blip r:embed="rId12"/>
                    <a:stretch>
                      <a:fillRect/>
                    </a:stretch>
                  </pic:blipFill>
                  <pic:spPr>
                    <a:xfrm>
                      <a:off x="0" y="0"/>
                      <a:ext cx="5120640" cy="5978623"/>
                    </a:xfrm>
                    <a:prstGeom prst="rect"/>
                  </pic:spPr>
                </pic:pic>
              </a:graphicData>
            </a:graphic>
          </wp:inline>
        </w:drawing>
      </w:r>
    </w:p>
    <w:p>
      <w:pPr>
        <w:spacing w:line="288" w:lineRule="auto" w:before="80" w:after="120"/>
        <w:jc w:val="center"/>
      </w:pPr>
      <w:r>
        <w:rPr>
          <w:rFonts w:ascii="Times New Roman" w:hAnsi="Times New Roman" w:eastAsia="宋体"/>
          <w:b/>
          <w:i w:val="0"/>
          <w:sz w:val="21"/>
        </w:rPr>
        <w:t>图5-4 同种子下 HEUR 与 DRL 的期末库存、单期成本与累计成本对比</w:t>
      </w:r>
    </w:p>
    <w:p>
      <w:pPr>
        <w:pStyle w:val="Heading2"/>
      </w:pPr>
      <w:r>
        <w:t>5.5 消融实验设计【待执行】</w:t>
      </w:r>
    </w:p>
    <w:p>
      <w:pPr>
        <w:spacing w:line="360" w:lineRule="auto" w:after="120"/>
      </w:pPr>
      <w:r>
        <w:rPr>
          <w:rFonts w:ascii="Times New Roman" w:hAnsi="Times New Roman" w:eastAsia="宋体"/>
          <w:b w:val="0"/>
          <w:i w:val="0"/>
          <w:sz w:val="24"/>
        </w:rPr>
        <w:t>四组消融均可通过代码开关直接实现，其中 A1 直接回应原论文附录C留下的开放问题：</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fill="D9D9D9"/>
          </w:tcPr>
          <w:p>
            <w:pPr>
              <w:jc w:val="center"/>
            </w:pPr>
            <w:r>
              <w:rPr>
                <w:rFonts w:ascii="Times New Roman" w:hAnsi="Times New Roman" w:eastAsia="宋体"/>
                <w:b/>
                <w:i w:val="0"/>
                <w:sz w:val="21"/>
              </w:rPr>
              <w:t>编号</w:t>
            </w:r>
          </w:p>
        </w:tc>
        <w:tc>
          <w:tcPr>
            <w:tcW w:type="dxa" w:w="2078"/>
            <w:shd w:val="clear" w:fill="D9D9D9"/>
          </w:tcPr>
          <w:p>
            <w:pPr>
              <w:jc w:val="center"/>
            </w:pPr>
            <w:r>
              <w:rPr>
                <w:rFonts w:ascii="Times New Roman" w:hAnsi="Times New Roman" w:eastAsia="宋体"/>
                <w:b/>
                <w:i w:val="0"/>
                <w:sz w:val="21"/>
              </w:rPr>
              <w:t>移除组件</w:t>
            </w:r>
          </w:p>
        </w:tc>
        <w:tc>
          <w:tcPr>
            <w:tcW w:type="dxa" w:w="2078"/>
            <w:shd w:val="clear" w:fill="D9D9D9"/>
          </w:tcPr>
          <w:p>
            <w:pPr>
              <w:jc w:val="center"/>
            </w:pPr>
            <w:r>
              <w:rPr>
                <w:rFonts w:ascii="Times New Roman" w:hAnsi="Times New Roman" w:eastAsia="宋体"/>
                <w:b/>
                <w:i w:val="0"/>
                <w:sz w:val="21"/>
              </w:rPr>
              <w:t>代码开关</w:t>
            </w:r>
          </w:p>
        </w:tc>
        <w:tc>
          <w:tcPr>
            <w:tcW w:type="dxa" w:w="2078"/>
            <w:shd w:val="clear" w:fill="D9D9D9"/>
          </w:tcPr>
          <w:p>
            <w:pPr>
              <w:jc w:val="center"/>
            </w:pPr>
            <w:r>
              <w:rPr>
                <w:rFonts w:ascii="Times New Roman" w:hAnsi="Times New Roman" w:eastAsia="宋体"/>
                <w:b/>
                <w:i w:val="0"/>
                <w:sz w:val="21"/>
              </w:rPr>
              <w:t>验证目的</w:t>
            </w:r>
          </w:p>
        </w:tc>
      </w:tr>
      <w:tr>
        <w:tc>
          <w:tcPr>
            <w:tcW w:type="dxa" w:w="2078"/>
          </w:tcPr>
          <w:p>
            <w:pPr>
              <w:jc w:val="left"/>
            </w:pPr>
            <w:r>
              <w:rPr>
                <w:rFonts w:ascii="Times New Roman" w:hAnsi="Times New Roman" w:eastAsia="宋体"/>
                <w:b w:val="0"/>
                <w:i w:val="0"/>
                <w:sz w:val="21"/>
              </w:rPr>
              <w:t>A1</w:t>
            </w:r>
          </w:p>
        </w:tc>
        <w:tc>
          <w:tcPr>
            <w:tcW w:type="dxa" w:w="2078"/>
          </w:tcPr>
          <w:p>
            <w:pPr>
              <w:jc w:val="center"/>
            </w:pPr>
            <w:r>
              <w:rPr>
                <w:rFonts w:ascii="Times New Roman" w:hAnsi="Times New Roman" w:eastAsia="宋体"/>
                <w:b w:val="0"/>
                <w:i w:val="0"/>
                <w:sz w:val="21"/>
              </w:rPr>
              <w:t>三角函数＋归一化时间编码</w:t>
            </w:r>
          </w:p>
        </w:tc>
        <w:tc>
          <w:tcPr>
            <w:tcW w:type="dxa" w:w="2078"/>
          </w:tcPr>
          <w:p>
            <w:pPr>
              <w:jc w:val="center"/>
            </w:pPr>
            <w:r>
              <w:rPr>
                <w:rFonts w:ascii="Times New Roman" w:hAnsi="Times New Roman" w:eastAsia="宋体"/>
                <w:b w:val="0"/>
                <w:i w:val="0"/>
                <w:sz w:val="21"/>
              </w:rPr>
              <w:t>Net(time_feat_dim=3→0)，状态退化</w:t>
            </w:r>
          </w:p>
        </w:tc>
        <w:tc>
          <w:tcPr>
            <w:tcW w:type="dxa" w:w="2078"/>
          </w:tcPr>
          <w:p>
            <w:pPr>
              <w:jc w:val="center"/>
            </w:pPr>
            <w:r>
              <w:rPr>
                <w:rFonts w:ascii="Times New Roman" w:hAnsi="Times New Roman" w:eastAsia="宋体"/>
                <w:b w:val="0"/>
                <w:i w:val="0"/>
                <w:sz w:val="21"/>
              </w:rPr>
              <w:t>周期相位与期末效应对季节性学习的增益（对照原文附录C平稳零结果）</w:t>
            </w:r>
          </w:p>
        </w:tc>
      </w:tr>
      <w:tr>
        <w:tc>
          <w:tcPr>
            <w:tcW w:type="dxa" w:w="2078"/>
          </w:tcPr>
          <w:p>
            <w:pPr>
              <w:jc w:val="left"/>
            </w:pPr>
            <w:r>
              <w:rPr>
                <w:rFonts w:ascii="Times New Roman" w:hAnsi="Times New Roman" w:eastAsia="宋体"/>
                <w:b w:val="0"/>
                <w:i w:val="0"/>
                <w:sz w:val="21"/>
              </w:rPr>
              <w:t>A2</w:t>
            </w:r>
          </w:p>
        </w:tc>
        <w:tc>
          <w:tcPr>
            <w:tcW w:type="dxa" w:w="2078"/>
          </w:tcPr>
          <w:p>
            <w:pPr>
              <w:jc w:val="center"/>
            </w:pPr>
            <w:r>
              <w:rPr>
                <w:rFonts w:ascii="Times New Roman" w:hAnsi="Times New Roman" w:eastAsia="宋体"/>
                <w:b w:val="0"/>
                <w:i w:val="0"/>
                <w:sz w:val="21"/>
              </w:rPr>
              <w:t>应急渠道动态调整</w:t>
            </w:r>
          </w:p>
        </w:tc>
        <w:tc>
          <w:tcPr>
            <w:tcW w:type="dxa" w:w="2078"/>
          </w:tcPr>
          <w:p>
            <w:pPr>
              <w:jc w:val="center"/>
            </w:pPr>
            <w:r>
              <w:rPr>
                <w:rFonts w:ascii="Times New Roman" w:hAnsi="Times New Roman" w:eastAsia="宋体"/>
                <w:b w:val="0"/>
                <w:i w:val="0"/>
                <w:sz w:val="21"/>
              </w:rPr>
              <w:t>EPS_Q2=0（f≡1，退化为纯报童水位）</w:t>
            </w:r>
          </w:p>
        </w:tc>
        <w:tc>
          <w:tcPr>
            <w:tcW w:type="dxa" w:w="2078"/>
          </w:tcPr>
          <w:p>
            <w:pPr>
              <w:jc w:val="center"/>
            </w:pPr>
            <w:r>
              <w:rPr>
                <w:rFonts w:ascii="Times New Roman" w:hAnsi="Times New Roman" w:eastAsia="宋体"/>
                <w:b w:val="0"/>
                <w:i w:val="0"/>
                <w:sz w:val="21"/>
              </w:rPr>
              <w:t>应急权重邻域搜索的价值</w:t>
            </w:r>
          </w:p>
        </w:tc>
      </w:tr>
      <w:tr>
        <w:tc>
          <w:tcPr>
            <w:tcW w:type="dxa" w:w="2078"/>
          </w:tcPr>
          <w:p>
            <w:pPr>
              <w:jc w:val="left"/>
            </w:pPr>
            <w:r>
              <w:rPr>
                <w:rFonts w:ascii="Times New Roman" w:hAnsi="Times New Roman" w:eastAsia="宋体"/>
                <w:b w:val="0"/>
                <w:i w:val="0"/>
                <w:sz w:val="21"/>
              </w:rPr>
              <w:t>A3</w:t>
            </w:r>
          </w:p>
        </w:tc>
        <w:tc>
          <w:tcPr>
            <w:tcW w:type="dxa" w:w="2078"/>
          </w:tcPr>
          <w:p>
            <w:pPr>
              <w:jc w:val="center"/>
            </w:pPr>
            <w:r>
              <w:rPr>
                <w:rFonts w:ascii="Times New Roman" w:hAnsi="Times New Roman" w:eastAsia="宋体"/>
                <w:b w:val="0"/>
                <w:i w:val="0"/>
                <w:sz w:val="21"/>
              </w:rPr>
              <w:t>教师锚定约束</w:t>
            </w:r>
          </w:p>
        </w:tc>
        <w:tc>
          <w:tcPr>
            <w:tcW w:type="dxa" w:w="2078"/>
          </w:tcPr>
          <w:p>
            <w:pPr>
              <w:jc w:val="center"/>
            </w:pPr>
            <w:r>
              <w:rPr>
                <w:rFonts w:ascii="Times New Roman" w:hAnsi="Times New Roman" w:eastAsia="宋体"/>
                <w:b w:val="0"/>
                <w:i w:val="0"/>
                <w:sz w:val="21"/>
              </w:rPr>
              <w:t>放开 w_bound（或改为直接输出订货量）</w:t>
            </w:r>
          </w:p>
        </w:tc>
        <w:tc>
          <w:tcPr>
            <w:tcW w:type="dxa" w:w="2078"/>
          </w:tcPr>
          <w:p>
            <w:pPr>
              <w:jc w:val="center"/>
            </w:pPr>
            <w:r>
              <w:rPr>
                <w:rFonts w:ascii="Times New Roman" w:hAnsi="Times New Roman" w:eastAsia="宋体"/>
                <w:b w:val="0"/>
                <w:i w:val="0"/>
                <w:sz w:val="21"/>
              </w:rPr>
              <w:t>先验对收敛速度与稳定性的作用（原文 δ=1 消融的双输出推广）</w:t>
            </w:r>
          </w:p>
        </w:tc>
      </w:tr>
      <w:tr>
        <w:tc>
          <w:tcPr>
            <w:tcW w:type="dxa" w:w="2078"/>
          </w:tcPr>
          <w:p>
            <w:pPr>
              <w:jc w:val="left"/>
            </w:pPr>
            <w:r>
              <w:rPr>
                <w:rFonts w:ascii="Times New Roman" w:hAnsi="Times New Roman" w:eastAsia="宋体"/>
                <w:b w:val="0"/>
                <w:i w:val="0"/>
                <w:sz w:val="21"/>
              </w:rPr>
              <w:t>A4</w:t>
            </w:r>
          </w:p>
        </w:tc>
        <w:tc>
          <w:tcPr>
            <w:tcW w:type="dxa" w:w="2078"/>
          </w:tcPr>
          <w:p>
            <w:pPr>
              <w:jc w:val="center"/>
            </w:pPr>
            <w:r>
              <w:rPr>
                <w:rFonts w:ascii="Times New Roman" w:hAnsi="Times New Roman" w:eastAsia="宋体"/>
                <w:b w:val="0"/>
                <w:i w:val="0"/>
                <w:sz w:val="21"/>
              </w:rPr>
              <w:t>单 Agent 双输出</w:t>
            </w:r>
          </w:p>
        </w:tc>
        <w:tc>
          <w:tcPr>
            <w:tcW w:type="dxa" w:w="2078"/>
          </w:tcPr>
          <w:p>
            <w:pPr>
              <w:jc w:val="center"/>
            </w:pPr>
            <w:r>
              <w:rPr>
                <w:rFonts w:ascii="Times New Roman" w:hAnsi="Times New Roman" w:eastAsia="宋体"/>
                <w:b w:val="0"/>
                <w:i w:val="0"/>
                <w:sz w:val="21"/>
              </w:rPr>
              <w:t>拆分为两个独立网络分别训练 q1/q2</w:t>
            </w:r>
          </w:p>
        </w:tc>
        <w:tc>
          <w:tcPr>
            <w:tcW w:type="dxa" w:w="2078"/>
          </w:tcPr>
          <w:p>
            <w:pPr>
              <w:jc w:val="center"/>
            </w:pPr>
            <w:r>
              <w:rPr>
                <w:rFonts w:ascii="Times New Roman" w:hAnsi="Times New Roman" w:eastAsia="宋体"/>
                <w:b w:val="0"/>
                <w:i w:val="0"/>
                <w:sz w:val="21"/>
              </w:rPr>
              <w:t>共享特征提取的协同优势（对照原文附录D.2 每期独立 agent 方案）</w:t>
            </w:r>
          </w:p>
        </w:tc>
      </w:tr>
    </w:tbl>
    <w:p>
      <w:pPr>
        <w:spacing w:after="0"/>
      </w:pPr>
    </w:p>
    <w:p>
      <w:pPr>
        <w:spacing w:line="288" w:lineRule="auto" w:before="80" w:after="120"/>
        <w:jc w:val="center"/>
      </w:pPr>
      <w:r>
        <w:rPr>
          <w:rFonts w:ascii="Times New Roman" w:hAnsi="Times New Roman" w:eastAsia="宋体"/>
          <w:b/>
          <w:i w:val="0"/>
          <w:sz w:val="21"/>
        </w:rPr>
        <w:t>表5-6 消融实验设计与代码对应关系</w:t>
      </w:r>
    </w:p>
    <w:p>
      <w:pPr>
        <w:pStyle w:val="Heading2"/>
      </w:pPr>
      <w:r>
        <w:t>5.6 参数鲁棒性与完整批量实验方案【待执行】</w:t>
      </w:r>
    </w:p>
    <w:p>
      <w:pPr>
        <w:spacing w:line="360" w:lineRule="auto" w:after="120"/>
        <w:ind w:firstLine="480"/>
      </w:pPr>
      <w:r>
        <w:rPr>
          <w:rFonts w:ascii="Times New Roman" w:hAnsi="Times New Roman" w:eastAsia="宋体"/>
          <w:b w:val="0"/>
          <w:i w:val="0"/>
          <w:sz w:val="24"/>
        </w:rPr>
        <w:t>在表5-1 全网格（季节性 24 组、双源 48 组）上，每组以 N=100 个公共种子对执行全部策略对比，报告口径对齐原文 5.3 节：（1）胜率——DRL 优于最优启发式的参数组合占比；（2）相对增益的均值与标准差；（3）优势最大／最小场景识别与管理学解释。当前已完成网格定义、演示链路与公平性基础设施，全量运行列入后续工作。</w:t>
      </w:r>
    </w:p>
    <w:p>
      <w:pPr>
        <w:pStyle w:val="Heading1"/>
      </w:pPr>
      <w:r>
        <w:t>第六章 结论与管理启示</w:t>
      </w:r>
    </w:p>
    <w:p>
      <w:pPr>
        <w:pStyle w:val="Heading2"/>
      </w:pPr>
      <w:r>
        <w:t>6.1 主要结论</w:t>
      </w:r>
    </w:p>
    <w:p>
      <w:pPr>
        <w:spacing w:line="360" w:lineRule="auto" w:after="120"/>
        <w:ind w:firstLine="480"/>
      </w:pPr>
      <w:r>
        <w:rPr>
          <w:rFonts w:ascii="Times New Roman" w:hAnsi="Times New Roman" w:eastAsia="宋体"/>
          <w:b w:val="0"/>
          <w:i w:val="0"/>
          <w:sz w:val="24"/>
        </w:rPr>
        <w:t>(1) 本文将单源平稳的全有或全无良率库存模型扩展为季节性非平稳需求与双源采购下的有限期 MDP，通过正弦／余弦周期编码与归一化时间的状态增广恢复马尔可夫性，并给出与环境代码逐步对应的六步转移时序；(2) 提出的单 Agent 双输出先验融合架构在双重教师邻域内受限搜索，配合相对指数损失与三重早停实现稳定收敛：双源演示样本 16 回合内批均成本由 1411.64 降至 1298.72 并系统性跑赢教师；(3) 同种子对照实验表明，扩展 DRL 在双源场景较 HEUR 降低成本 9.01%、较单一启发式最高降低约 32%，且成本方差最小；轨迹分析证实其学得“常规降库、应急兜底、时机后置”的非线性协同策略。</w:t>
      </w:r>
    </w:p>
    <w:p>
      <w:pPr>
        <w:pStyle w:val="Heading2"/>
      </w:pPr>
      <w:r>
        <w:t>6.2 管理启示</w:t>
      </w:r>
    </w:p>
    <w:p>
      <w:pPr>
        <w:spacing w:line="360" w:lineRule="auto" w:after="120"/>
        <w:ind w:firstLine="480"/>
      </w:pPr>
      <w:r>
        <w:rPr>
          <w:rFonts w:ascii="Times New Roman" w:hAnsi="Times New Roman" w:eastAsia="宋体"/>
          <w:b w:val="0"/>
          <w:i w:val="0"/>
          <w:sz w:val="24"/>
        </w:rPr>
        <w:t>(1) 面对季节性需求不应使用静态阈值类补货策略，补货系统至少应感知周期相位与规划期进度；(2) 应急渠道的价值在于兜底而非替代：演示区中即便仅用应急渠道也优于仅用常规渠道，但两者联合更优，应保持 c1&lt;c2&lt;b 的价格结构并以服务目标反推 b；(3) 引入 AI 优化的意义在于寻找两渠道的非直觉动态平衡点（何时压常规、何时启应急），而非简单叠加两个静态启发式。</w:t>
      </w:r>
    </w:p>
    <w:p>
      <w:pPr>
        <w:pStyle w:val="Heading2"/>
      </w:pPr>
      <w:r>
        <w:t>6.3 局限性与未来展望</w:t>
      </w:r>
    </w:p>
    <w:p>
      <w:pPr>
        <w:spacing w:line="360" w:lineRule="auto" w:after="120"/>
        <w:ind w:firstLine="480"/>
      </w:pPr>
      <w:r>
        <w:rPr>
          <w:rFonts w:ascii="Times New Roman" w:hAnsi="Times New Roman" w:eastAsia="宋体"/>
          <w:b w:val="0"/>
          <w:i w:val="0"/>
          <w:sz w:val="24"/>
        </w:rPr>
        <w:t>(1) 当前扩展模型的需求过程限定为截断正态分布；基准代码已支持 Gamma 需求，将其纳入扩展网格是直接的后续工作——这也呼应原论文结论中“将 RL 推广至二项与随机比例良率模型”的未来方向；(2) 消融与全网格鲁棒性运行尚待执行，相应章节暂以设计方案呈现；(3) 模型可进一步扩展至多级供应链、含固定订货成本的批量订购（原文附录D.1 已给 DP 形式）、连续动作空间算法（SAC/PPO），以及与 Dehaybe 式显式需求预测嵌入状态的系统对比【引文待补充】。</w:t>
      </w:r>
    </w:p>
    <w:p>
      <w:pPr>
        <w:pStyle w:val="Heading1"/>
      </w:pPr>
      <w:r>
        <w:t>参考文献</w:t>
      </w:r>
    </w:p>
    <w:p>
      <w:pPr>
        <w:spacing w:line="360" w:lineRule="auto" w:after="120"/>
      </w:pPr>
      <w:r>
        <w:rPr>
          <w:rFonts w:ascii="Times New Roman" w:hAnsi="Times New Roman" w:eastAsia="宋体"/>
          <w:b w:val="0"/>
          <w:i w:val="0"/>
          <w:sz w:val="21"/>
        </w:rPr>
        <w:t>【题录核对说明】以下条目按 Yan et al. (2026) 原论文 References 列表核对转录（完整 DOI 见原文）；标注★者为本文新增、原文未引；标注【补】者卷期页信息待核对。分组仅为便于撰写，定稿时统一格式。</w:t>
      </w:r>
    </w:p>
    <w:p>
      <w:pPr>
        <w:spacing w:line="360" w:lineRule="auto" w:after="40"/>
      </w:pPr>
      <w:r>
        <w:rPr>
          <w:rFonts w:ascii="Times New Roman" w:hAnsi="Times New Roman" w:eastAsia="宋体"/>
          <w:b/>
          <w:i w:val="0"/>
          <w:sz w:val="22"/>
        </w:rPr>
        <w:t>A. 源论文与随机良率方法</w:t>
      </w:r>
    </w:p>
    <w:p>
      <w:pPr>
        <w:spacing w:line="360" w:lineRule="auto" w:after="20"/>
      </w:pPr>
      <w:r>
        <w:rPr>
          <w:rFonts w:ascii="Times New Roman" w:hAnsi="Times New Roman" w:eastAsia="宋体"/>
          <w:b w:val="0"/>
          <w:i w:val="0"/>
          <w:sz w:val="21"/>
        </w:rPr>
        <w:t>Yan, Y., Chen, F.(Youhua), Fu, Z., Bi, W., 2026. Heuristics and deep reinforcement learning for the inventory problem with an all-or-nothing yield pattern and non-zero leadtimes. Computers &amp; Operations Research 186, 107305.</w:t>
      </w:r>
    </w:p>
    <w:p>
      <w:pPr>
        <w:spacing w:line="360" w:lineRule="auto" w:after="20"/>
      </w:pPr>
      <w:r>
        <w:rPr>
          <w:rFonts w:ascii="Times New Roman" w:hAnsi="Times New Roman" w:eastAsia="宋体"/>
          <w:b w:val="0"/>
          <w:i w:val="0"/>
          <w:sz w:val="21"/>
        </w:rPr>
        <w:t>Chen, F.Y., Hu, F., Yano, C.A., Yuan, Q., 2018. Heuristics and bounds for an inventory system with an all-or-nothing yield pattern and lead-times. In: 2018 IEEE SOLI, Singapore, 180–184.</w:t>
      </w:r>
    </w:p>
    <w:p>
      <w:pPr>
        <w:spacing w:line="360" w:lineRule="auto" w:after="20"/>
      </w:pPr>
      <w:r>
        <w:rPr>
          <w:rFonts w:ascii="Times New Roman" w:hAnsi="Times New Roman" w:eastAsia="宋体"/>
          <w:b w:val="0"/>
          <w:i w:val="0"/>
          <w:sz w:val="21"/>
        </w:rPr>
        <w:t>Henig, M., Gerchak, Y., 1990. The structure of periodic review policies in the presence of random yield. Operations Research 38(4), 634–643.</w:t>
      </w:r>
    </w:p>
    <w:p>
      <w:pPr>
        <w:spacing w:line="360" w:lineRule="auto" w:after="20"/>
      </w:pPr>
      <w:r>
        <w:rPr>
          <w:rFonts w:ascii="Times New Roman" w:hAnsi="Times New Roman" w:eastAsia="宋体"/>
          <w:b w:val="0"/>
          <w:i w:val="0"/>
          <w:sz w:val="21"/>
        </w:rPr>
        <w:t>Bollapragada, S., Morton, T.E., 1999. Myopic heuristics for the random yield problem. Operations Research 47(5), 713–722.</w:t>
      </w:r>
    </w:p>
    <w:p>
      <w:pPr>
        <w:spacing w:line="360" w:lineRule="auto" w:after="20"/>
      </w:pPr>
      <w:r>
        <w:rPr>
          <w:rFonts w:ascii="Times New Roman" w:hAnsi="Times New Roman" w:eastAsia="宋体"/>
          <w:b w:val="0"/>
          <w:i w:val="0"/>
          <w:sz w:val="21"/>
        </w:rPr>
        <w:t>Li, Q., Xu, H., Zheng, S., 2008. Periodic-review inventory systems with random yield and demand: Bounds and heuristics. IIE Transactions 40(4), 434–444.</w:t>
      </w:r>
    </w:p>
    <w:p>
      <w:pPr>
        <w:spacing w:line="360" w:lineRule="auto" w:after="20"/>
      </w:pPr>
      <w:r>
        <w:rPr>
          <w:rFonts w:ascii="Times New Roman" w:hAnsi="Times New Roman" w:eastAsia="宋体"/>
          <w:b w:val="0"/>
          <w:i w:val="0"/>
          <w:sz w:val="21"/>
        </w:rPr>
        <w:t>Huh, W.T., Nagarajan, M., 2010. Linear inflation rules for the random yield problem: Analysis and computations. Operations Research 58(1), 244–251.</w:t>
      </w:r>
    </w:p>
    <w:p>
      <w:pPr>
        <w:spacing w:line="360" w:lineRule="auto" w:after="20"/>
      </w:pPr>
      <w:r>
        <w:rPr>
          <w:rFonts w:ascii="Times New Roman" w:hAnsi="Times New Roman" w:eastAsia="宋体"/>
          <w:b w:val="0"/>
          <w:i w:val="0"/>
          <w:sz w:val="21"/>
        </w:rPr>
        <w:t>Inderfurth, K., 2009. How to protect against demand and yield risks in MRP systems. Int. J. Production Economics 121(2), 474–481.</w:t>
      </w:r>
    </w:p>
    <w:p>
      <w:pPr>
        <w:spacing w:line="360" w:lineRule="auto" w:after="20"/>
      </w:pPr>
      <w:r>
        <w:rPr>
          <w:rFonts w:ascii="Times New Roman" w:hAnsi="Times New Roman" w:eastAsia="宋体"/>
          <w:b w:val="0"/>
          <w:i w:val="0"/>
          <w:sz w:val="21"/>
        </w:rPr>
        <w:t>Inderfurth, K., Vogelgesang, S., 2013. Concepts for safety stock determination under stochastic demand and different types of random production yield. EJOR 224(2), 293–301.</w:t>
      </w:r>
    </w:p>
    <w:p>
      <w:pPr>
        <w:spacing w:line="360" w:lineRule="auto" w:after="20"/>
      </w:pPr>
      <w:r>
        <w:rPr>
          <w:rFonts w:ascii="Times New Roman" w:hAnsi="Times New Roman" w:eastAsia="宋体"/>
          <w:b w:val="0"/>
          <w:i w:val="0"/>
          <w:sz w:val="21"/>
        </w:rPr>
        <w:t>Inderfurth, K., Kiesmüller, G.P., 2015. Exact and heuristic linear-inflation policies for an inventory model with random yield and arbitrary lead times. EJOR 245(1), 109–120.</w:t>
      </w:r>
    </w:p>
    <w:p>
      <w:pPr>
        <w:spacing w:line="360" w:lineRule="auto" w:after="20"/>
      </w:pPr>
      <w:r>
        <w:rPr>
          <w:rFonts w:ascii="Times New Roman" w:hAnsi="Times New Roman" w:eastAsia="宋体"/>
          <w:b w:val="0"/>
          <w:i w:val="0"/>
          <w:sz w:val="21"/>
        </w:rPr>
        <w:t>Yano, C.A., Lee, H.L., 1995. Lot sizing with random yields: A review. Operations Research 43(2), 311–334.</w:t>
      </w:r>
    </w:p>
    <w:p>
      <w:pPr>
        <w:spacing w:line="360" w:lineRule="auto" w:after="40"/>
      </w:pPr>
      <w:r>
        <w:rPr>
          <w:rFonts w:ascii="Times New Roman" w:hAnsi="Times New Roman" w:eastAsia="宋体"/>
          <w:b/>
          <w:i w:val="0"/>
          <w:sz w:val="22"/>
        </w:rPr>
        <w:t>B. 供应风险的应用背景</w:t>
      </w:r>
    </w:p>
    <w:p>
      <w:pPr>
        <w:spacing w:line="360" w:lineRule="auto" w:after="20"/>
      </w:pPr>
      <w:r>
        <w:rPr>
          <w:rFonts w:ascii="Times New Roman" w:hAnsi="Times New Roman" w:eastAsia="宋体"/>
          <w:b w:val="0"/>
          <w:i w:val="0"/>
          <w:sz w:val="21"/>
        </w:rPr>
        <w:t>Tomlin, B., 2009. Impact of supply learning when suppliers are unreliable. M&amp;SOM 11(2), 192–209.</w:t>
      </w:r>
    </w:p>
    <w:p>
      <w:pPr>
        <w:spacing w:line="360" w:lineRule="auto" w:after="20"/>
      </w:pPr>
      <w:r>
        <w:rPr>
          <w:rFonts w:ascii="Times New Roman" w:hAnsi="Times New Roman" w:eastAsia="宋体"/>
          <w:b w:val="0"/>
          <w:i w:val="0"/>
          <w:sz w:val="21"/>
        </w:rPr>
        <w:t>Martagan, T., Krishnamurthy, A., Maravelias, C.T., 2016. Optimal condition-based harvesting policies for biomanufacturing operations with failure risks. IIE Transactions 48(5), 440–461.</w:t>
      </w:r>
    </w:p>
    <w:p>
      <w:pPr>
        <w:spacing w:line="360" w:lineRule="auto" w:after="20"/>
      </w:pPr>
      <w:r>
        <w:rPr>
          <w:rFonts w:ascii="Times New Roman" w:hAnsi="Times New Roman" w:eastAsia="宋体"/>
          <w:b w:val="0"/>
          <w:i w:val="0"/>
          <w:sz w:val="21"/>
        </w:rPr>
        <w:t>Martagan, T., Akcay, A., Koek, M., Adan, I., 2020. Optimal production decisions in biopharmaceutical fill-and-finish operations. IISE Transactions 53(2), 149–163.</w:t>
      </w:r>
    </w:p>
    <w:p>
      <w:pPr>
        <w:spacing w:line="360" w:lineRule="auto" w:after="20"/>
      </w:pPr>
      <w:r>
        <w:rPr>
          <w:rFonts w:ascii="Times New Roman" w:hAnsi="Times New Roman" w:eastAsia="宋体"/>
          <w:b w:val="0"/>
          <w:i w:val="0"/>
          <w:sz w:val="21"/>
        </w:rPr>
        <w:t>Wang, Y., Gilland, W., Tomlin, B., 2010. Mitigating supply risk: Dual sourcing or process improvement? M&amp;SOM 12(3), 489–510.</w:t>
      </w:r>
    </w:p>
    <w:p>
      <w:pPr>
        <w:spacing w:line="360" w:lineRule="auto" w:after="20"/>
      </w:pPr>
      <w:r>
        <w:rPr>
          <w:rFonts w:ascii="Times New Roman" w:hAnsi="Times New Roman" w:eastAsia="宋体"/>
          <w:b w:val="0"/>
          <w:i w:val="0"/>
          <w:sz w:val="21"/>
        </w:rPr>
        <w:t>Tang, S.Y., Gurnani, H., Gupta, D., 2014. Managing disruptions in decentralized supply chains with endogenous supply process reliability. POM 23(7), 1198–1211.</w:t>
      </w:r>
    </w:p>
    <w:p>
      <w:pPr>
        <w:spacing w:line="360" w:lineRule="auto" w:after="20"/>
      </w:pPr>
      <w:r>
        <w:rPr>
          <w:rFonts w:ascii="Times New Roman" w:hAnsi="Times New Roman" w:eastAsia="宋体"/>
          <w:b w:val="0"/>
          <w:i w:val="0"/>
          <w:sz w:val="21"/>
        </w:rPr>
        <w:t>DeCroix, G.A., 2013. Inventory management for an assembly system subject to supply disruptions. Management Science 59(9), 2079–2092.</w:t>
      </w:r>
    </w:p>
    <w:p>
      <w:pPr>
        <w:spacing w:line="360" w:lineRule="auto" w:after="20"/>
      </w:pPr>
      <w:r>
        <w:rPr>
          <w:rFonts w:ascii="Times New Roman" w:hAnsi="Times New Roman" w:eastAsia="宋体"/>
          <w:b w:val="0"/>
          <w:i w:val="0"/>
          <w:sz w:val="21"/>
        </w:rPr>
        <w:t>Kouvelis, P., Xiao, G., Yang, N., 2018. On the properties of yield distributions in random yield problems. POM 27(7), 1291–1302.</w:t>
      </w:r>
    </w:p>
    <w:p>
      <w:pPr>
        <w:spacing w:line="360" w:lineRule="auto" w:after="20"/>
      </w:pPr>
      <w:r>
        <w:rPr>
          <w:rFonts w:ascii="Times New Roman" w:hAnsi="Times New Roman" w:eastAsia="宋体"/>
          <w:b w:val="0"/>
          <w:i w:val="0"/>
          <w:sz w:val="21"/>
        </w:rPr>
        <w:t>Yuan, X., Bi, G., Fei, Y., Liu, L., 2021. Supply chain with random yield and financing. Omega 102, 102334.</w:t>
      </w:r>
    </w:p>
    <w:p>
      <w:pPr>
        <w:spacing w:line="360" w:lineRule="auto" w:after="20"/>
      </w:pPr>
      <w:r>
        <w:rPr>
          <w:rFonts w:ascii="Times New Roman" w:hAnsi="Times New Roman" w:eastAsia="宋体"/>
          <w:b w:val="0"/>
          <w:i w:val="0"/>
          <w:sz w:val="21"/>
        </w:rPr>
        <w:t>Bu, J., Gong, X., Yao, D., 2020. Constant-order policies for lost-sales inventory models with random supply functions. Operations Research 68(4), 1063–1073.</w:t>
      </w:r>
    </w:p>
    <w:p>
      <w:pPr>
        <w:spacing w:line="360" w:lineRule="auto" w:after="20"/>
      </w:pPr>
      <w:r>
        <w:rPr>
          <w:rFonts w:ascii="Times New Roman" w:hAnsi="Times New Roman" w:eastAsia="宋体"/>
          <w:b w:val="0"/>
          <w:i w:val="0"/>
          <w:sz w:val="21"/>
        </w:rPr>
        <w:t>Li, X., 2017. Optimal procurement strategies from suppliers with random yield and all-or-nothing risks. Annals of OR 257, 167–181.</w:t>
      </w:r>
    </w:p>
    <w:p>
      <w:pPr>
        <w:spacing w:line="360" w:lineRule="auto" w:after="20"/>
      </w:pPr>
      <w:r>
        <w:rPr>
          <w:rFonts w:ascii="Times New Roman" w:hAnsi="Times New Roman" w:eastAsia="宋体"/>
          <w:b w:val="0"/>
          <w:i w:val="0"/>
          <w:sz w:val="21"/>
        </w:rPr>
        <w:t>Federgruen, A., Yang, N., 2011. Procurement strategies with unreliable suppliers. Operations Research 59(4), 1033–1039.</w:t>
      </w:r>
    </w:p>
    <w:p>
      <w:pPr>
        <w:spacing w:line="360" w:lineRule="auto" w:after="20"/>
      </w:pPr>
      <w:r>
        <w:rPr>
          <w:rFonts w:ascii="Times New Roman" w:hAnsi="Times New Roman" w:eastAsia="宋体"/>
          <w:b w:val="0"/>
          <w:i w:val="0"/>
          <w:sz w:val="21"/>
        </w:rPr>
        <w:t>Veinott Jr., A.F., 1965. The optimal inventory policy for batch ordering. Operations Research 13(3), 424–432.</w:t>
      </w:r>
    </w:p>
    <w:p>
      <w:pPr>
        <w:spacing w:line="360" w:lineRule="auto" w:after="40"/>
      </w:pPr>
      <w:r>
        <w:rPr>
          <w:rFonts w:ascii="Times New Roman" w:hAnsi="Times New Roman" w:eastAsia="宋体"/>
          <w:b/>
          <w:i w:val="0"/>
          <w:sz w:val="22"/>
        </w:rPr>
        <w:t>C. DRL 在库存管理中的应用</w:t>
      </w:r>
    </w:p>
    <w:p>
      <w:pPr>
        <w:spacing w:line="360" w:lineRule="auto" w:after="20"/>
      </w:pPr>
      <w:r>
        <w:rPr>
          <w:rFonts w:ascii="Times New Roman" w:hAnsi="Times New Roman" w:eastAsia="宋体"/>
          <w:b w:val="0"/>
          <w:i w:val="0"/>
          <w:sz w:val="21"/>
        </w:rPr>
        <w:t>Boute, R.N., Gijsbrechts, J., van Jaarsveld, W., Vanvuchelen, N., 2022. Deep reinforcement learning for inventory control: A roadmap. EJOR 298(2), 401–412.</w:t>
      </w:r>
    </w:p>
    <w:p>
      <w:pPr>
        <w:spacing w:line="360" w:lineRule="auto" w:after="20"/>
      </w:pPr>
      <w:r>
        <w:rPr>
          <w:rFonts w:ascii="Times New Roman" w:hAnsi="Times New Roman" w:eastAsia="宋体"/>
          <w:b w:val="0"/>
          <w:i w:val="0"/>
          <w:sz w:val="21"/>
        </w:rPr>
        <w:t>Gijsbrechts, J., Boute, R.N., Van Mieghem, J.A., Zhang, D.J., 2022. Can deep reinforcement learning improve inventory management? M&amp;SOM 24(3), 1349–1368.</w:t>
      </w:r>
    </w:p>
    <w:p>
      <w:pPr>
        <w:spacing w:line="360" w:lineRule="auto" w:after="20"/>
      </w:pPr>
      <w:r>
        <w:rPr>
          <w:rFonts w:ascii="Times New Roman" w:hAnsi="Times New Roman" w:eastAsia="宋体"/>
          <w:b w:val="0"/>
          <w:i w:val="0"/>
          <w:sz w:val="21"/>
        </w:rPr>
        <w:t>Oroojlooyjadid, A., Nazari, M., Snyder, L.V., Takáč, M., 2022. A deep Q-network for the beer game. M&amp;SOM 24(1), 285–304.</w:t>
      </w:r>
    </w:p>
    <w:p>
      <w:pPr>
        <w:spacing w:line="360" w:lineRule="auto" w:after="20"/>
      </w:pPr>
      <w:r>
        <w:rPr>
          <w:rFonts w:ascii="Times New Roman" w:hAnsi="Times New Roman" w:eastAsia="宋体"/>
          <w:b w:val="0"/>
          <w:i w:val="0"/>
          <w:sz w:val="21"/>
        </w:rPr>
        <w:t>De Moor, B.J., Gijsbrechts, J., Boute, R.N., 2022. Reward shaping to improve the performance of deep reinforcement learning in perishable inventory management. EJOR 301(2), 535–545.</w:t>
      </w:r>
    </w:p>
    <w:p>
      <w:pPr>
        <w:spacing w:line="360" w:lineRule="auto" w:after="20"/>
      </w:pPr>
      <w:r>
        <w:rPr>
          <w:rFonts w:ascii="Times New Roman" w:hAnsi="Times New Roman" w:eastAsia="宋体"/>
          <w:b w:val="0"/>
          <w:i w:val="0"/>
          <w:sz w:val="21"/>
        </w:rPr>
        <w:t>Kaynov, I., et al., 2024. Deep reinforcement learning for one-warehouse multi-retailer inventory management. Int. J. Production Economics 267, 109088.</w:t>
      </w:r>
    </w:p>
    <w:p>
      <w:pPr>
        <w:spacing w:line="360" w:lineRule="auto" w:after="20"/>
      </w:pPr>
      <w:r>
        <w:rPr>
          <w:rFonts w:ascii="Times New Roman" w:hAnsi="Times New Roman" w:eastAsia="宋体"/>
          <w:b w:val="0"/>
          <w:i w:val="0"/>
          <w:sz w:val="21"/>
        </w:rPr>
        <w:t>Wang, Y., Minner, S., 2024. Deep reinforcement learning for demand fulfillment in online retail. Int. J. Production Economics 269, 109133.</w:t>
      </w:r>
    </w:p>
    <w:p>
      <w:pPr>
        <w:spacing w:line="360" w:lineRule="auto" w:after="20"/>
      </w:pPr>
      <w:r>
        <w:rPr>
          <w:rFonts w:ascii="Times New Roman" w:hAnsi="Times New Roman" w:eastAsia="宋体"/>
          <w:b w:val="0"/>
          <w:i w:val="0"/>
          <w:sz w:val="21"/>
        </w:rPr>
        <w:t>Mnih, V., et al., 2015. Human-level control through deep reinforcement learning. Nature 518(7540), 529–533.</w:t>
      </w:r>
    </w:p>
    <w:p>
      <w:pPr>
        <w:spacing w:line="360" w:lineRule="auto" w:after="20"/>
      </w:pPr>
      <w:r>
        <w:rPr>
          <w:rFonts w:ascii="Times New Roman" w:hAnsi="Times New Roman" w:eastAsia="宋体"/>
          <w:b w:val="0"/>
          <w:i w:val="0"/>
          <w:sz w:val="21"/>
        </w:rPr>
        <w:t>Silver, D., et al., 2016. Mastering the game of Go with deep neural networks and tree search. Nature 529(7587), 484–489.</w:t>
      </w:r>
    </w:p>
    <w:p>
      <w:pPr>
        <w:spacing w:line="360" w:lineRule="auto" w:after="40"/>
      </w:pPr>
      <w:r>
        <w:rPr>
          <w:rFonts w:ascii="Times New Roman" w:hAnsi="Times New Roman" w:eastAsia="宋体"/>
          <w:b/>
          <w:i w:val="0"/>
          <w:sz w:val="22"/>
        </w:rPr>
        <w:t>D. 强化学习基础与方法</w:t>
      </w:r>
    </w:p>
    <w:p>
      <w:pPr>
        <w:spacing w:line="360" w:lineRule="auto" w:after="20"/>
      </w:pPr>
      <w:r>
        <w:rPr>
          <w:rFonts w:ascii="Times New Roman" w:hAnsi="Times New Roman" w:eastAsia="宋体"/>
          <w:b w:val="0"/>
          <w:i w:val="0"/>
          <w:sz w:val="21"/>
        </w:rPr>
        <w:t>Sutton, R.S., Barto, A.G., 2018. Reinforcement Learning: An Introduction. MIT Press (Chapter 3).</w:t>
      </w:r>
    </w:p>
    <w:p>
      <w:pPr>
        <w:spacing w:line="360" w:lineRule="auto" w:after="20"/>
      </w:pPr>
      <w:r>
        <w:rPr>
          <w:rFonts w:ascii="Times New Roman" w:hAnsi="Times New Roman" w:eastAsia="宋体"/>
          <w:b w:val="0"/>
          <w:i w:val="0"/>
          <w:sz w:val="21"/>
        </w:rPr>
        <w:t>Bertsekas, D., 2019. Reinforcement Learning and Optimal Control. Athena Scientific (Chapter 1).</w:t>
      </w:r>
    </w:p>
    <w:p>
      <w:pPr>
        <w:spacing w:line="360" w:lineRule="auto" w:after="20"/>
      </w:pPr>
      <w:r>
        <w:rPr>
          <w:rFonts w:ascii="Times New Roman" w:hAnsi="Times New Roman" w:eastAsia="宋体"/>
          <w:b w:val="0"/>
          <w:i w:val="0"/>
          <w:sz w:val="21"/>
        </w:rPr>
        <w:t>Bellman, R., 1966. Dynamic programming. Science 153(3731), 34–37.</w:t>
      </w:r>
    </w:p>
    <w:p>
      <w:pPr>
        <w:spacing w:line="360" w:lineRule="auto" w:after="20"/>
      </w:pPr>
      <w:r>
        <w:rPr>
          <w:rFonts w:ascii="Times New Roman" w:hAnsi="Times New Roman" w:eastAsia="宋体"/>
          <w:b w:val="0"/>
          <w:i w:val="0"/>
          <w:sz w:val="21"/>
        </w:rPr>
        <w:t>Powell, W.B., 2007. Approximate Dynamic Programming: Solving the Curses of Dimensionality. Wiley (Chapter 1).</w:t>
      </w:r>
    </w:p>
    <w:p>
      <w:pPr>
        <w:spacing w:line="360" w:lineRule="auto" w:after="20"/>
      </w:pPr>
      <w:r>
        <w:rPr>
          <w:rFonts w:ascii="Times New Roman" w:hAnsi="Times New Roman" w:eastAsia="宋体"/>
          <w:b w:val="0"/>
          <w:i w:val="0"/>
          <w:sz w:val="21"/>
        </w:rPr>
        <w:t>Puterman, M.L., 2014. Markov Decision Processes. Wiley (Chapter 6).</w:t>
      </w:r>
    </w:p>
    <w:p>
      <w:pPr>
        <w:spacing w:line="360" w:lineRule="auto" w:after="20"/>
      </w:pPr>
      <w:r>
        <w:rPr>
          <w:rFonts w:ascii="Times New Roman" w:hAnsi="Times New Roman" w:eastAsia="宋体"/>
          <w:b w:val="0"/>
          <w:i w:val="0"/>
          <w:sz w:val="21"/>
        </w:rPr>
        <w:t>Nair, V., Hinton, G.E., 2010. Rectified linear units improve restricted boltzmann machines. ICML-10, 807–814.</w:t>
      </w:r>
    </w:p>
    <w:p>
      <w:pPr>
        <w:spacing w:line="360" w:lineRule="auto" w:after="20"/>
      </w:pPr>
      <w:r>
        <w:rPr>
          <w:rFonts w:ascii="Times New Roman" w:hAnsi="Times New Roman" w:eastAsia="宋体"/>
          <w:b w:val="0"/>
          <w:i w:val="0"/>
          <w:sz w:val="21"/>
        </w:rPr>
        <w:t>Boyd, S.P., Vandenberghe, L., 2004. Convex Optimization. Cambridge University Press (Chapter 3).</w:t>
      </w:r>
    </w:p>
    <w:p>
      <w:pPr>
        <w:spacing w:line="360" w:lineRule="auto" w:after="20"/>
      </w:pPr>
      <w:r>
        <w:rPr>
          <w:rFonts w:ascii="Times New Roman" w:hAnsi="Times New Roman" w:eastAsia="宋体"/>
          <w:b w:val="0"/>
          <w:i w:val="0"/>
          <w:sz w:val="21"/>
        </w:rPr>
        <w:t>Wiewiora, E., Cottrell, G.W., Elkan, C., 2003. Principled methods for advising reinforcement learning agents. ICML-03, 792–799.</w:t>
      </w:r>
    </w:p>
    <w:p>
      <w:pPr>
        <w:spacing w:line="360" w:lineRule="auto" w:after="20"/>
      </w:pPr>
      <w:r>
        <w:rPr>
          <w:rFonts w:ascii="Times New Roman" w:hAnsi="Times New Roman" w:eastAsia="宋体"/>
          <w:b w:val="0"/>
          <w:i w:val="0"/>
          <w:sz w:val="21"/>
        </w:rPr>
        <w:t>★ Pardo, F., Tavakoli, A., Levdik, V., Kormushev, P., 2018. Time limits in reinforcement learning. ICML 2018.【页码待补】</w:t>
      </w:r>
    </w:p>
    <w:p>
      <w:pPr>
        <w:spacing w:line="360" w:lineRule="auto" w:after="40"/>
      </w:pPr>
      <w:r>
        <w:rPr>
          <w:rFonts w:ascii="Times New Roman" w:hAnsi="Times New Roman" w:eastAsia="宋体"/>
          <w:b/>
          <w:i w:val="0"/>
          <w:sz w:val="22"/>
        </w:rPr>
        <w:t>E. 非平稳需求与时间感知（本文新增脉络）</w:t>
      </w:r>
    </w:p>
    <w:p>
      <w:pPr>
        <w:spacing w:line="360" w:lineRule="auto" w:after="20"/>
      </w:pPr>
      <w:r>
        <w:rPr>
          <w:rFonts w:ascii="Times New Roman" w:hAnsi="Times New Roman" w:eastAsia="宋体"/>
          <w:b w:val="0"/>
          <w:i w:val="0"/>
          <w:sz w:val="21"/>
        </w:rPr>
        <w:t>★ Mao, W., Zhang, K., Zhu, R., Simchi-Levi, D., Başar, T., 2024. Model-free nonstationary reinforcement learning. Management Science（已由原文转引核对）.</w:t>
      </w:r>
    </w:p>
    <w:p>
      <w:pPr>
        <w:spacing w:line="360" w:lineRule="auto" w:after="20"/>
      </w:pPr>
      <w:r>
        <w:rPr>
          <w:rFonts w:ascii="Times New Roman" w:hAnsi="Times New Roman" w:eastAsia="宋体"/>
          <w:b w:val="0"/>
          <w:i w:val="0"/>
          <w:sz w:val="21"/>
        </w:rPr>
        <w:t>★ Dehaybe, H., Catanzaro, D., Chevalier, P., 2023. Deep reinforcement learning for inventory optimization with non-stationary uncertain demand. EJOR.【卷期页待补】</w:t>
      </w:r>
    </w:p>
    <w:p>
      <w:pPr>
        <w:spacing w:line="360" w:lineRule="auto" w:after="20"/>
      </w:pPr>
      <w:r>
        <w:rPr>
          <w:rFonts w:ascii="Times New Roman" w:hAnsi="Times New Roman" w:eastAsia="宋体"/>
          <w:b w:val="0"/>
          <w:i w:val="0"/>
          <w:sz w:val="21"/>
        </w:rPr>
        <w:t>★ Maggiar, A., et al., 2025. Structure-informed deep reinforcement learning for inventory management.【题录待核实】</w:t>
      </w:r>
    </w:p>
    <w:p>
      <w:pPr>
        <w:spacing w:line="360" w:lineRule="auto" w:after="20"/>
      </w:pPr>
      <w:r>
        <w:rPr>
          <w:rFonts w:ascii="Times New Roman" w:hAnsi="Times New Roman" w:eastAsia="宋体"/>
          <w:b w:val="0"/>
          <w:i w:val="0"/>
          <w:sz w:val="21"/>
        </w:rPr>
        <w:t>★ Wang, X., et al., 2021. 易腐品联合定价与库存控制的 DRL 研究。【题录待核实，注意与 Wang &amp; Minner 2024 区分】</w:t>
      </w:r>
    </w:p>
    <w:p>
      <w:pPr>
        <w:pStyle w:val="Heading1"/>
      </w:pPr>
      <w:r>
        <w:t>附录A 代码—章节对照表</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fill="D9D9D9"/>
          </w:tcPr>
          <w:p>
            <w:pPr>
              <w:jc w:val="center"/>
            </w:pPr>
            <w:r>
              <w:rPr>
                <w:rFonts w:ascii="Times New Roman" w:hAnsi="Times New Roman" w:eastAsia="宋体"/>
                <w:b/>
                <w:i w:val="0"/>
                <w:sz w:val="21"/>
              </w:rPr>
              <w:t>文件</w:t>
            </w:r>
          </w:p>
        </w:tc>
        <w:tc>
          <w:tcPr>
            <w:tcW w:type="dxa" w:w="2771"/>
            <w:shd w:val="clear" w:fill="D9D9D9"/>
          </w:tcPr>
          <w:p>
            <w:pPr>
              <w:jc w:val="center"/>
            </w:pPr>
            <w:r>
              <w:rPr>
                <w:rFonts w:ascii="Times New Roman" w:hAnsi="Times New Roman" w:eastAsia="宋体"/>
                <w:b/>
                <w:i w:val="0"/>
                <w:sz w:val="21"/>
              </w:rPr>
              <w:t>职责</w:t>
            </w:r>
          </w:p>
        </w:tc>
        <w:tc>
          <w:tcPr>
            <w:tcW w:type="dxa" w:w="2771"/>
            <w:shd w:val="clear" w:fill="D9D9D9"/>
          </w:tcPr>
          <w:p>
            <w:pPr>
              <w:jc w:val="center"/>
            </w:pPr>
            <w:r>
              <w:rPr>
                <w:rFonts w:ascii="Times New Roman" w:hAnsi="Times New Roman" w:eastAsia="宋体"/>
                <w:b/>
                <w:i w:val="0"/>
                <w:sz w:val="21"/>
              </w:rPr>
              <w:t>对应章节</w:t>
            </w:r>
          </w:p>
        </w:tc>
      </w:tr>
      <w:tr>
        <w:tc>
          <w:tcPr>
            <w:tcW w:type="dxa" w:w="2771"/>
          </w:tcPr>
          <w:p>
            <w:pPr>
              <w:jc w:val="left"/>
            </w:pPr>
            <w:r>
              <w:rPr>
                <w:rFonts w:ascii="Times New Roman" w:hAnsi="Times New Roman" w:eastAsia="宋体"/>
                <w:b w:val="0"/>
                <w:i w:val="0"/>
                <w:sz w:val="21"/>
              </w:rPr>
              <w:t>main.py</w:t>
            </w:r>
          </w:p>
        </w:tc>
        <w:tc>
          <w:tcPr>
            <w:tcW w:type="dxa" w:w="2771"/>
          </w:tcPr>
          <w:p>
            <w:pPr>
              <w:jc w:val="center"/>
            </w:pPr>
            <w:r>
              <w:rPr>
                <w:rFonts w:ascii="Times New Roman" w:hAnsi="Times New Roman" w:eastAsia="宋体"/>
                <w:b w:val="0"/>
                <w:i w:val="0"/>
                <w:sz w:val="21"/>
              </w:rPr>
              <w:t>基准环境、SL 计算、BASE/LIR/WNH、864 组网格批量评估</w:t>
            </w:r>
          </w:p>
        </w:tc>
        <w:tc>
          <w:tcPr>
            <w:tcW w:type="dxa" w:w="2771"/>
          </w:tcPr>
          <w:p>
            <w:pPr>
              <w:jc w:val="center"/>
            </w:pPr>
            <w:r>
              <w:rPr>
                <w:rFonts w:ascii="Times New Roman" w:hAnsi="Times New Roman" w:eastAsia="宋体"/>
                <w:b w:val="0"/>
                <w:i w:val="0"/>
                <w:sz w:val="21"/>
              </w:rPr>
              <w:t>2.1 / 4.1</w:t>
            </w:r>
          </w:p>
        </w:tc>
      </w:tr>
      <w:tr>
        <w:tc>
          <w:tcPr>
            <w:tcW w:type="dxa" w:w="2771"/>
          </w:tcPr>
          <w:p>
            <w:pPr>
              <w:jc w:val="left"/>
            </w:pPr>
            <w:r>
              <w:rPr>
                <w:rFonts w:ascii="Times New Roman" w:hAnsi="Times New Roman" w:eastAsia="宋体"/>
                <w:b w:val="0"/>
                <w:i w:val="0"/>
                <w:sz w:val="21"/>
              </w:rPr>
              <w:t>train.py / test.py</w:t>
            </w:r>
          </w:p>
        </w:tc>
        <w:tc>
          <w:tcPr>
            <w:tcW w:type="dxa" w:w="2771"/>
          </w:tcPr>
          <w:p>
            <w:pPr>
              <w:jc w:val="center"/>
            </w:pPr>
            <w:r>
              <w:rPr>
                <w:rFonts w:ascii="Times New Roman" w:hAnsi="Times New Roman" w:eastAsia="宋体"/>
                <w:b w:val="0"/>
                <w:i w:val="0"/>
                <w:sz w:val="21"/>
              </w:rPr>
              <w:t>基准单源 DRL 训练与离线评估</w:t>
            </w:r>
          </w:p>
        </w:tc>
        <w:tc>
          <w:tcPr>
            <w:tcW w:type="dxa" w:w="2771"/>
          </w:tcPr>
          <w:p>
            <w:pPr>
              <w:jc w:val="center"/>
            </w:pPr>
            <w:r>
              <w:rPr>
                <w:rFonts w:ascii="Times New Roman" w:hAnsi="Times New Roman" w:eastAsia="宋体"/>
                <w:b w:val="0"/>
                <w:i w:val="0"/>
                <w:sz w:val="21"/>
              </w:rPr>
              <w:t>2.1 / 4.4</w:t>
            </w:r>
          </w:p>
        </w:tc>
      </w:tr>
      <w:tr>
        <w:tc>
          <w:tcPr>
            <w:tcW w:type="dxa" w:w="2771"/>
          </w:tcPr>
          <w:p>
            <w:pPr>
              <w:jc w:val="left"/>
            </w:pPr>
            <w:r>
              <w:rPr>
                <w:rFonts w:ascii="Times New Roman" w:hAnsi="Times New Roman" w:eastAsia="宋体"/>
                <w:b w:val="0"/>
                <w:i w:val="0"/>
                <w:sz w:val="21"/>
              </w:rPr>
              <w:t>main_seasonal.py</w:t>
            </w:r>
          </w:p>
        </w:tc>
        <w:tc>
          <w:tcPr>
            <w:tcW w:type="dxa" w:w="2771"/>
          </w:tcPr>
          <w:p>
            <w:pPr>
              <w:jc w:val="center"/>
            </w:pPr>
            <w:r>
              <w:rPr>
                <w:rFonts w:ascii="Times New Roman" w:hAnsi="Times New Roman" w:eastAsia="宋体"/>
                <w:b w:val="0"/>
                <w:i w:val="0"/>
                <w:sz w:val="21"/>
              </w:rPr>
              <w:t>时变需求环境、动态 SL、24 组网格</w:t>
            </w:r>
          </w:p>
        </w:tc>
        <w:tc>
          <w:tcPr>
            <w:tcW w:type="dxa" w:w="2771"/>
          </w:tcPr>
          <w:p>
            <w:pPr>
              <w:jc w:val="center"/>
            </w:pPr>
            <w:r>
              <w:rPr>
                <w:rFonts w:ascii="Times New Roman" w:hAnsi="Times New Roman" w:eastAsia="宋体"/>
                <w:b w:val="0"/>
                <w:i w:val="0"/>
                <w:sz w:val="21"/>
              </w:rPr>
              <w:t>3.3 / 3.9 / 5.1</w:t>
            </w:r>
          </w:p>
        </w:tc>
      </w:tr>
      <w:tr>
        <w:tc>
          <w:tcPr>
            <w:tcW w:type="dxa" w:w="2771"/>
          </w:tcPr>
          <w:p>
            <w:pPr>
              <w:jc w:val="left"/>
            </w:pPr>
            <w:r>
              <w:rPr>
                <w:rFonts w:ascii="Times New Roman" w:hAnsi="Times New Roman" w:eastAsia="宋体"/>
                <w:b w:val="0"/>
                <w:i w:val="0"/>
                <w:sz w:val="21"/>
              </w:rPr>
              <w:t>train_seasonal.py</w:t>
            </w:r>
          </w:p>
        </w:tc>
        <w:tc>
          <w:tcPr>
            <w:tcW w:type="dxa" w:w="2771"/>
          </w:tcPr>
          <w:p>
            <w:pPr>
              <w:jc w:val="center"/>
            </w:pPr>
            <w:r>
              <w:rPr>
                <w:rFonts w:ascii="Times New Roman" w:hAnsi="Times New Roman" w:eastAsia="宋体"/>
                <w:b w:val="0"/>
                <w:i w:val="0"/>
                <w:sz w:val="21"/>
              </w:rPr>
              <w:t>时间感知状态＋路径加权 DRL 训练</w:t>
            </w:r>
          </w:p>
        </w:tc>
        <w:tc>
          <w:tcPr>
            <w:tcW w:type="dxa" w:w="2771"/>
          </w:tcPr>
          <w:p>
            <w:pPr>
              <w:jc w:val="center"/>
            </w:pPr>
            <w:r>
              <w:rPr>
                <w:rFonts w:ascii="Times New Roman" w:hAnsi="Times New Roman" w:eastAsia="宋体"/>
                <w:b w:val="0"/>
                <w:i w:val="0"/>
                <w:sz w:val="21"/>
              </w:rPr>
              <w:t>3.4 / 4.2 / 4.3</w:t>
            </w:r>
          </w:p>
        </w:tc>
      </w:tr>
      <w:tr>
        <w:tc>
          <w:tcPr>
            <w:tcW w:type="dxa" w:w="2771"/>
          </w:tcPr>
          <w:p>
            <w:pPr>
              <w:jc w:val="left"/>
            </w:pPr>
            <w:r>
              <w:rPr>
                <w:rFonts w:ascii="Times New Roman" w:hAnsi="Times New Roman" w:eastAsia="宋体"/>
                <w:b w:val="0"/>
                <w:i w:val="0"/>
                <w:sz w:val="21"/>
              </w:rPr>
              <w:t>test_seasonal.py</w:t>
            </w:r>
          </w:p>
        </w:tc>
        <w:tc>
          <w:tcPr>
            <w:tcW w:type="dxa" w:w="2771"/>
          </w:tcPr>
          <w:p>
            <w:pPr>
              <w:jc w:val="center"/>
            </w:pPr>
            <w:r>
              <w:rPr>
                <w:rFonts w:ascii="Times New Roman" w:hAnsi="Times New Roman" w:eastAsia="宋体"/>
                <w:b w:val="0"/>
                <w:i w:val="0"/>
                <w:sz w:val="21"/>
              </w:rPr>
              <w:t>Qt_DRL 加载 .pth 的同种子评估</w:t>
            </w:r>
          </w:p>
        </w:tc>
        <w:tc>
          <w:tcPr>
            <w:tcW w:type="dxa" w:w="2771"/>
          </w:tcPr>
          <w:p>
            <w:pPr>
              <w:jc w:val="center"/>
            </w:pPr>
            <w:r>
              <w:rPr>
                <w:rFonts w:ascii="Times New Roman" w:hAnsi="Times New Roman" w:eastAsia="宋体"/>
                <w:b w:val="0"/>
                <w:i w:val="0"/>
                <w:sz w:val="21"/>
              </w:rPr>
              <w:t>4.4 / 5.2</w:t>
            </w:r>
          </w:p>
        </w:tc>
      </w:tr>
      <w:tr>
        <w:tc>
          <w:tcPr>
            <w:tcW w:type="dxa" w:w="2771"/>
          </w:tcPr>
          <w:p>
            <w:pPr>
              <w:jc w:val="left"/>
            </w:pPr>
            <w:r>
              <w:rPr>
                <w:rFonts w:ascii="Times New Roman" w:hAnsi="Times New Roman" w:eastAsia="宋体"/>
                <w:b w:val="0"/>
                <w:i w:val="0"/>
                <w:sz w:val="21"/>
              </w:rPr>
              <w:t>main_dual.py</w:t>
            </w:r>
          </w:p>
        </w:tc>
        <w:tc>
          <w:tcPr>
            <w:tcW w:type="dxa" w:w="2771"/>
          </w:tcPr>
          <w:p>
            <w:pPr>
              <w:jc w:val="center"/>
            </w:pPr>
            <w:r>
              <w:rPr>
                <w:rFonts w:ascii="Times New Roman" w:hAnsi="Times New Roman" w:eastAsia="宋体"/>
                <w:b w:val="0"/>
                <w:i w:val="0"/>
                <w:sz w:val="21"/>
              </w:rPr>
              <w:t>双源＋季节完整环境、NV/HEUR、48 组网格</w:t>
            </w:r>
          </w:p>
        </w:tc>
        <w:tc>
          <w:tcPr>
            <w:tcW w:type="dxa" w:w="2771"/>
          </w:tcPr>
          <w:p>
            <w:pPr>
              <w:jc w:val="center"/>
            </w:pPr>
            <w:r>
              <w:rPr>
                <w:rFonts w:ascii="Times New Roman" w:hAnsi="Times New Roman" w:eastAsia="宋体"/>
                <w:b w:val="0"/>
                <w:i w:val="0"/>
                <w:sz w:val="21"/>
              </w:rPr>
              <w:t>第三章 / 4.1 / 5.1</w:t>
            </w:r>
          </w:p>
        </w:tc>
      </w:tr>
      <w:tr>
        <w:tc>
          <w:tcPr>
            <w:tcW w:type="dxa" w:w="2771"/>
          </w:tcPr>
          <w:p>
            <w:pPr>
              <w:jc w:val="left"/>
            </w:pPr>
            <w:r>
              <w:rPr>
                <w:rFonts w:ascii="Times New Roman" w:hAnsi="Times New Roman" w:eastAsia="宋体"/>
                <w:b w:val="0"/>
                <w:i w:val="0"/>
                <w:sz w:val="21"/>
              </w:rPr>
              <w:t>train_dual.py</w:t>
            </w:r>
          </w:p>
        </w:tc>
        <w:tc>
          <w:tcPr>
            <w:tcW w:type="dxa" w:w="2771"/>
          </w:tcPr>
          <w:p>
            <w:pPr>
              <w:jc w:val="center"/>
            </w:pPr>
            <w:r>
              <w:rPr>
                <w:rFonts w:ascii="Times New Roman" w:hAnsi="Times New Roman" w:eastAsia="宋体"/>
                <w:b w:val="0"/>
                <w:i w:val="0"/>
                <w:sz w:val="21"/>
              </w:rPr>
              <w:t>单Agent双输出架构与相对损失训练</w:t>
            </w:r>
          </w:p>
        </w:tc>
        <w:tc>
          <w:tcPr>
            <w:tcW w:type="dxa" w:w="2771"/>
          </w:tcPr>
          <w:p>
            <w:pPr>
              <w:jc w:val="center"/>
            </w:pPr>
            <w:r>
              <w:rPr>
                <w:rFonts w:ascii="Times New Roman" w:hAnsi="Times New Roman" w:eastAsia="宋体"/>
                <w:b w:val="0"/>
                <w:i w:val="0"/>
                <w:sz w:val="21"/>
              </w:rPr>
              <w:t>4.2 / 4.3</w:t>
            </w:r>
          </w:p>
        </w:tc>
      </w:tr>
      <w:tr>
        <w:tc>
          <w:tcPr>
            <w:tcW w:type="dxa" w:w="2771"/>
          </w:tcPr>
          <w:p>
            <w:pPr>
              <w:jc w:val="left"/>
            </w:pPr>
            <w:r>
              <w:rPr>
                <w:rFonts w:ascii="Times New Roman" w:hAnsi="Times New Roman" w:eastAsia="宋体"/>
                <w:b w:val="0"/>
                <w:i w:val="0"/>
                <w:sz w:val="21"/>
              </w:rPr>
              <w:t>test_dual.py</w:t>
            </w:r>
          </w:p>
        </w:tc>
        <w:tc>
          <w:tcPr>
            <w:tcW w:type="dxa" w:w="2771"/>
          </w:tcPr>
          <w:p>
            <w:pPr>
              <w:jc w:val="center"/>
            </w:pPr>
            <w:r>
              <w:rPr>
                <w:rFonts w:ascii="Times New Roman" w:hAnsi="Times New Roman" w:eastAsia="宋体"/>
                <w:b w:val="0"/>
                <w:i w:val="0"/>
                <w:sz w:val="21"/>
              </w:rPr>
              <w:t>双源 Qt_DRL 离线评估</w:t>
            </w:r>
          </w:p>
        </w:tc>
        <w:tc>
          <w:tcPr>
            <w:tcW w:type="dxa" w:w="2771"/>
          </w:tcPr>
          <w:p>
            <w:pPr>
              <w:jc w:val="center"/>
            </w:pPr>
            <w:r>
              <w:rPr>
                <w:rFonts w:ascii="Times New Roman" w:hAnsi="Times New Roman" w:eastAsia="宋体"/>
                <w:b w:val="0"/>
                <w:i w:val="0"/>
                <w:sz w:val="21"/>
              </w:rPr>
              <w:t>4.4 / 5.3</w:t>
            </w:r>
          </w:p>
        </w:tc>
      </w:tr>
      <w:tr>
        <w:tc>
          <w:tcPr>
            <w:tcW w:type="dxa" w:w="2771"/>
          </w:tcPr>
          <w:p>
            <w:pPr>
              <w:jc w:val="left"/>
            </w:pPr>
            <w:r>
              <w:rPr>
                <w:rFonts w:ascii="Times New Roman" w:hAnsi="Times New Roman" w:eastAsia="宋体"/>
                <w:b w:val="0"/>
                <w:i w:val="0"/>
                <w:sz w:val="21"/>
              </w:rPr>
              <w:t>analyze_trace.py / plot_traces.py</w:t>
            </w:r>
          </w:p>
        </w:tc>
        <w:tc>
          <w:tcPr>
            <w:tcW w:type="dxa" w:w="2771"/>
          </w:tcPr>
          <w:p>
            <w:pPr>
              <w:jc w:val="center"/>
            </w:pPr>
            <w:r>
              <w:rPr>
                <w:rFonts w:ascii="Times New Roman" w:hAnsi="Times New Roman" w:eastAsia="宋体"/>
                <w:b w:val="0"/>
                <w:i w:val="0"/>
                <w:sz w:val="21"/>
              </w:rPr>
              <w:t>逐期轨迹提取与三联图</w:t>
            </w:r>
          </w:p>
        </w:tc>
        <w:tc>
          <w:tcPr>
            <w:tcW w:type="dxa" w:w="2771"/>
          </w:tcPr>
          <w:p>
            <w:pPr>
              <w:jc w:val="center"/>
            </w:pPr>
            <w:r>
              <w:rPr>
                <w:rFonts w:ascii="Times New Roman" w:hAnsi="Times New Roman" w:eastAsia="宋体"/>
                <w:b w:val="0"/>
                <w:i w:val="0"/>
                <w:sz w:val="21"/>
              </w:rPr>
              <w:t>5.4</w:t>
            </w:r>
          </w:p>
        </w:tc>
      </w:tr>
      <w:tr>
        <w:tc>
          <w:tcPr>
            <w:tcW w:type="dxa" w:w="2771"/>
          </w:tcPr>
          <w:p>
            <w:pPr>
              <w:jc w:val="left"/>
            </w:pPr>
            <w:r>
              <w:rPr>
                <w:rFonts w:ascii="Times New Roman" w:hAnsi="Times New Roman" w:eastAsia="宋体"/>
                <w:b w:val="0"/>
                <w:i w:val="0"/>
                <w:sz w:val="21"/>
              </w:rPr>
              <w:t>plot_results.py</w:t>
            </w:r>
          </w:p>
        </w:tc>
        <w:tc>
          <w:tcPr>
            <w:tcW w:type="dxa" w:w="2771"/>
          </w:tcPr>
          <w:p>
            <w:pPr>
              <w:jc w:val="center"/>
            </w:pPr>
            <w:r>
              <w:rPr>
                <w:rFonts w:ascii="Times New Roman" w:hAnsi="Times New Roman" w:eastAsia="宋体"/>
                <w:b w:val="0"/>
                <w:i w:val="0"/>
                <w:sz w:val="21"/>
              </w:rPr>
              <w:t>成本柱状对比图</w:t>
            </w:r>
          </w:p>
        </w:tc>
        <w:tc>
          <w:tcPr>
            <w:tcW w:type="dxa" w:w="2771"/>
          </w:tcPr>
          <w:p>
            <w:pPr>
              <w:jc w:val="center"/>
            </w:pPr>
            <w:r>
              <w:rPr>
                <w:rFonts w:ascii="Times New Roman" w:hAnsi="Times New Roman" w:eastAsia="宋体"/>
                <w:b w:val="0"/>
                <w:i w:val="0"/>
                <w:sz w:val="21"/>
              </w:rPr>
              <w:t>图5-3</w:t>
            </w:r>
          </w:p>
        </w:tc>
      </w:tr>
      <w:tr>
        <w:tc>
          <w:tcPr>
            <w:tcW w:type="dxa" w:w="2771"/>
          </w:tcPr>
          <w:p>
            <w:pPr>
              <w:jc w:val="left"/>
            </w:pPr>
            <w:r>
              <w:rPr>
                <w:rFonts w:ascii="Times New Roman" w:hAnsi="Times New Roman" w:eastAsia="宋体"/>
                <w:b w:val="0"/>
                <w:i w:val="0"/>
                <w:sz w:val="21"/>
              </w:rPr>
              <w:t>seed/*.json</w:t>
            </w:r>
          </w:p>
        </w:tc>
        <w:tc>
          <w:tcPr>
            <w:tcW w:type="dxa" w:w="2771"/>
          </w:tcPr>
          <w:p>
            <w:pPr>
              <w:jc w:val="center"/>
            </w:pPr>
            <w:r>
              <w:rPr>
                <w:rFonts w:ascii="Times New Roman" w:hAnsi="Times New Roman" w:eastAsia="宋体"/>
                <w:b w:val="0"/>
                <w:i w:val="0"/>
                <w:sz w:val="21"/>
              </w:rPr>
              <w:t>训练500对 / 测试500对 / 基线100对成对种子</w:t>
            </w:r>
          </w:p>
        </w:tc>
        <w:tc>
          <w:tcPr>
            <w:tcW w:type="dxa" w:w="2771"/>
          </w:tcPr>
          <w:p>
            <w:pPr>
              <w:jc w:val="center"/>
            </w:pPr>
            <w:r>
              <w:rPr>
                <w:rFonts w:ascii="Times New Roman" w:hAnsi="Times New Roman" w:eastAsia="宋体"/>
                <w:b w:val="0"/>
                <w:i w:val="0"/>
                <w:sz w:val="21"/>
              </w:rPr>
              <w:t>3.3 / 4.4</w:t>
            </w:r>
          </w:p>
        </w:tc>
      </w:tr>
    </w:tbl>
    <w:p>
      <w:pPr>
        <w:spacing w:after="0"/>
      </w:pPr>
    </w:p>
    <w:p>
      <w:pPr>
        <w:pStyle w:val="Heading1"/>
      </w:pPr>
      <w:r>
        <w:t>附录B 复现说明</w:t>
      </w:r>
    </w:p>
    <w:p>
      <w:pPr>
        <w:spacing w:line="360" w:lineRule="auto" w:after="120"/>
      </w:pPr>
      <w:r>
        <w:rPr>
          <w:rFonts w:ascii="Times New Roman" w:hAnsi="Times New Roman" w:eastAsia="宋体"/>
          <w:b w:val="0"/>
          <w:i w:val="0"/>
          <w:sz w:val="24"/>
        </w:rPr>
        <w:t>运行环境：conda env inv_drl（Python, numpy, torch, matplotlib）。在仓库目录 heuristicsAndBoundsCode 下依次执行：</w:t>
      </w:r>
    </w:p>
    <w:p>
      <w:pPr>
        <w:spacing w:line="276" w:lineRule="auto"/>
      </w:pPr>
      <w:r>
        <w:rPr>
          <w:rFonts w:ascii="Courier New" w:hAnsi="Courier New" w:eastAsia="宋体"/>
          <w:b w:val="0"/>
          <w:i w:val="0"/>
          <w:sz w:val="20"/>
        </w:rPr>
        <w:t>$ conda activate inv_drl</w:t>
      </w:r>
    </w:p>
    <w:p>
      <w:pPr>
        <w:spacing w:line="276" w:lineRule="auto"/>
      </w:pPr>
      <w:r>
        <w:rPr>
          <w:rFonts w:ascii="Courier New" w:hAnsi="Courier New" w:eastAsia="宋体"/>
          <w:b w:val="0"/>
          <w:i w:val="0"/>
          <w:sz w:val="20"/>
        </w:rPr>
        <w:t>$ python main_seasonal.py      # 季节性场景启发式批量评估</w:t>
      </w:r>
    </w:p>
    <w:p>
      <w:pPr>
        <w:spacing w:line="276" w:lineRule="auto"/>
      </w:pPr>
      <w:r>
        <w:rPr>
          <w:rFonts w:ascii="Courier New" w:hAnsi="Courier New" w:eastAsia="宋体"/>
          <w:b w:val="0"/>
          <w:i w:val="0"/>
          <w:sz w:val="20"/>
        </w:rPr>
        <w:t>$ python main_dual.py          # 双源场景启发式批量评估</w:t>
      </w:r>
    </w:p>
    <w:p>
      <w:pPr>
        <w:spacing w:line="276" w:lineRule="auto"/>
      </w:pPr>
      <w:r>
        <w:rPr>
          <w:rFonts w:ascii="Courier New" w:hAnsi="Courier New" w:eastAsia="宋体"/>
          <w:b w:val="0"/>
          <w:i w:val="0"/>
          <w:sz w:val="20"/>
        </w:rPr>
        <w:t>$ python train_seasonal.py     # 训练 DRL-seasonal（样本#1）</w:t>
      </w:r>
    </w:p>
    <w:p>
      <w:pPr>
        <w:spacing w:line="276" w:lineRule="auto"/>
      </w:pPr>
      <w:r>
        <w:rPr>
          <w:rFonts w:ascii="Courier New" w:hAnsi="Courier New" w:eastAsia="宋体"/>
          <w:b w:val="0"/>
          <w:i w:val="0"/>
          <w:sz w:val="20"/>
        </w:rPr>
        <w:t>$ python train_dual.py         # 训练 DRL-full（样本#1）</w:t>
      </w:r>
    </w:p>
    <w:p>
      <w:pPr>
        <w:spacing w:line="276" w:lineRule="auto"/>
      </w:pPr>
      <w:r>
        <w:rPr>
          <w:rFonts w:ascii="Courier New" w:hAnsi="Courier New" w:eastAsia="宋体"/>
          <w:b w:val="0"/>
          <w:i w:val="0"/>
          <w:sz w:val="20"/>
        </w:rPr>
        <w:t>$ python test_seasonal.py      # 含 Qt_DRL 的同种子对比评估</w:t>
      </w:r>
    </w:p>
    <w:p>
      <w:pPr>
        <w:spacing w:line="276" w:lineRule="auto"/>
      </w:pPr>
      <w:r>
        <w:rPr>
          <w:rFonts w:ascii="Courier New" w:hAnsi="Courier New" w:eastAsia="宋体"/>
          <w:b w:val="0"/>
          <w:i w:val="0"/>
          <w:sz w:val="20"/>
        </w:rPr>
        <w:t>$ python test_dual.py</w:t>
      </w:r>
    </w:p>
    <w:p>
      <w:pPr>
        <w:spacing w:line="276" w:lineRule="auto"/>
      </w:pPr>
      <w:r>
        <w:rPr>
          <w:rFonts w:ascii="Courier New" w:hAnsi="Courier New" w:eastAsia="宋体"/>
          <w:b w:val="0"/>
          <w:i w:val="0"/>
          <w:sz w:val="20"/>
        </w:rPr>
        <w:t>$ python analyze_trace.py &amp;&amp; python plot_traces.py &amp;&amp; python plot_results.py</w:t>
      </w:r>
    </w:p>
    <w:p>
      <w:pPr>
        <w:spacing w:line="360" w:lineRule="auto" w:after="120"/>
        <w:ind w:firstLine="480"/>
      </w:pPr>
      <w:r>
        <w:rPr>
          <w:rFonts w:ascii="Times New Roman" w:hAnsi="Times New Roman" w:eastAsia="宋体"/>
          <w:b w:val="0"/>
          <w:i w:val="0"/>
          <w:sz w:val="24"/>
        </w:rPr>
        <w:t>产物位置：模型 train/model/model_*_sample1.pth；曲线 train/data/ 与 train/figure/；评估 test/cost_list_*.json；轨迹 test/trace_*.csv 与对比图。</w:t>
      </w:r>
    </w:p>
    <w:p>
      <w:pPr>
        <w:pStyle w:val="Heading1"/>
      </w:pPr>
      <w:r>
        <w:t>附录C 本文与原论文差异声明总表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val="clear" w:fill="D9D9D9"/>
          </w:tcPr>
          <w:p>
            <w:pPr>
              <w:jc w:val="center"/>
            </w:pPr>
            <w:r>
              <w:rPr>
                <w:rFonts w:ascii="Times New Roman" w:hAnsi="Times New Roman" w:eastAsia="宋体"/>
                <w:b/>
                <w:i w:val="0"/>
                <w:sz w:val="21"/>
              </w:rPr>
              <w:t>类别</w:t>
            </w:r>
          </w:p>
        </w:tc>
        <w:tc>
          <w:tcPr>
            <w:tcW w:type="dxa" w:w="1662"/>
            <w:shd w:val="clear" w:fill="D9D9D9"/>
          </w:tcPr>
          <w:p>
            <w:pPr>
              <w:jc w:val="center"/>
            </w:pPr>
            <w:r>
              <w:rPr>
                <w:rFonts w:ascii="Times New Roman" w:hAnsi="Times New Roman" w:eastAsia="宋体"/>
                <w:b/>
                <w:i w:val="0"/>
                <w:sz w:val="21"/>
              </w:rPr>
              <w:t>项目</w:t>
            </w:r>
          </w:p>
        </w:tc>
        <w:tc>
          <w:tcPr>
            <w:tcW w:type="dxa" w:w="1662"/>
            <w:shd w:val="clear" w:fill="D9D9D9"/>
          </w:tcPr>
          <w:p>
            <w:pPr>
              <w:jc w:val="center"/>
            </w:pPr>
            <w:r>
              <w:rPr>
                <w:rFonts w:ascii="Times New Roman" w:hAnsi="Times New Roman" w:eastAsia="宋体"/>
                <w:b/>
                <w:i w:val="0"/>
                <w:sz w:val="21"/>
              </w:rPr>
              <w:t>原论文（Yan et al., 2026）</w:t>
            </w:r>
          </w:p>
        </w:tc>
        <w:tc>
          <w:tcPr>
            <w:tcW w:type="dxa" w:w="1662"/>
            <w:shd w:val="clear" w:fill="D9D9D9"/>
          </w:tcPr>
          <w:p>
            <w:pPr>
              <w:jc w:val="center"/>
            </w:pPr>
            <w:r>
              <w:rPr>
                <w:rFonts w:ascii="Times New Roman" w:hAnsi="Times New Roman" w:eastAsia="宋体"/>
                <w:b/>
                <w:i w:val="0"/>
                <w:sz w:val="21"/>
              </w:rPr>
              <w:t>本文</w:t>
            </w:r>
          </w:p>
        </w:tc>
        <w:tc>
          <w:tcPr>
            <w:tcW w:type="dxa" w:w="1662"/>
            <w:shd w:val="clear" w:fill="D9D9D9"/>
          </w:tcPr>
          <w:p>
            <w:pPr>
              <w:jc w:val="center"/>
            </w:pPr>
            <w:r>
              <w:rPr>
                <w:rFonts w:ascii="Times New Roman" w:hAnsi="Times New Roman" w:eastAsia="宋体"/>
                <w:b/>
                <w:i w:val="0"/>
                <w:sz w:val="21"/>
              </w:rPr>
              <w:t>理由 / 出处</w:t>
            </w:r>
          </w:p>
        </w:tc>
      </w:tr>
      <w:tr>
        <w:tc>
          <w:tcPr>
            <w:tcW w:type="dxa" w:w="1662"/>
          </w:tcPr>
          <w:p>
            <w:pPr>
              <w:jc w:val="left"/>
            </w:pPr>
            <w:r>
              <w:rPr>
                <w:rFonts w:ascii="Times New Roman" w:hAnsi="Times New Roman" w:eastAsia="宋体"/>
                <w:b w:val="0"/>
                <w:i w:val="0"/>
                <w:sz w:val="21"/>
              </w:rPr>
              <w:t>继承</w:t>
            </w:r>
          </w:p>
        </w:tc>
        <w:tc>
          <w:tcPr>
            <w:tcW w:type="dxa" w:w="1662"/>
          </w:tcPr>
          <w:p>
            <w:pPr>
              <w:jc w:val="center"/>
            </w:pPr>
            <w:r>
              <w:rPr>
                <w:rFonts w:ascii="Times New Roman" w:hAnsi="Times New Roman" w:eastAsia="宋体"/>
                <w:b w:val="0"/>
                <w:i w:val="0"/>
                <w:sz w:val="21"/>
              </w:rPr>
              <w:t>目标库存公式</w:t>
            </w:r>
          </w:p>
        </w:tc>
        <w:tc>
          <w:tcPr>
            <w:tcW w:type="dxa" w:w="1662"/>
          </w:tcPr>
          <w:p>
            <w:pPr>
              <w:jc w:val="center"/>
            </w:pPr>
            <w:r>
              <w:rPr>
                <w:rFonts w:ascii="Times New Roman" w:hAnsi="Times New Roman" w:eastAsia="宋体"/>
                <w:b w:val="0"/>
                <w:i w:val="0"/>
                <w:sz w:val="21"/>
              </w:rPr>
              <w:t>式(3)</w:t>
            </w:r>
          </w:p>
        </w:tc>
        <w:tc>
          <w:tcPr>
            <w:tcW w:type="dxa" w:w="1662"/>
          </w:tcPr>
          <w:p>
            <w:pPr>
              <w:jc w:val="center"/>
            </w:pPr>
            <w:r>
              <w:rPr>
                <w:rFonts w:ascii="Times New Roman" w:hAnsi="Times New Roman" w:eastAsia="宋体"/>
                <w:b w:val="0"/>
                <w:i w:val="0"/>
                <w:sz w:val="21"/>
              </w:rPr>
              <w:t>式(3-6)（时变化）</w:t>
            </w:r>
          </w:p>
        </w:tc>
        <w:tc>
          <w:tcPr>
            <w:tcW w:type="dxa" w:w="1662"/>
          </w:tcPr>
          <w:p>
            <w:pPr>
              <w:jc w:val="center"/>
            </w:pPr>
            <w:r>
              <w:rPr>
                <w:rFonts w:ascii="Times New Roman" w:hAnsi="Times New Roman" w:eastAsia="宋体"/>
                <w:b w:val="0"/>
                <w:i w:val="0"/>
                <w:sz w:val="21"/>
              </w:rPr>
              <w:t>逐项一致</w:t>
            </w:r>
          </w:p>
        </w:tc>
      </w:tr>
      <w:tr>
        <w:tc>
          <w:tcPr>
            <w:tcW w:type="dxa" w:w="1662"/>
          </w:tcPr>
          <w:p>
            <w:pPr>
              <w:jc w:val="left"/>
            </w:pPr>
            <w:r>
              <w:rPr>
                <w:rFonts w:ascii="Times New Roman" w:hAnsi="Times New Roman" w:eastAsia="宋体"/>
                <w:b w:val="0"/>
                <w:i w:val="0"/>
                <w:sz w:val="21"/>
              </w:rPr>
              <w:t>继承</w:t>
            </w:r>
          </w:p>
        </w:tc>
        <w:tc>
          <w:tcPr>
            <w:tcW w:type="dxa" w:w="1662"/>
          </w:tcPr>
          <w:p>
            <w:pPr>
              <w:jc w:val="center"/>
            </w:pPr>
            <w:r>
              <w:rPr>
                <w:rFonts w:ascii="Times New Roman" w:hAnsi="Times New Roman" w:eastAsia="宋体"/>
                <w:b w:val="0"/>
                <w:i w:val="0"/>
                <w:sz w:val="21"/>
              </w:rPr>
              <w:t>WNH 策略</w:t>
            </w:r>
          </w:p>
        </w:tc>
        <w:tc>
          <w:tcPr>
            <w:tcW w:type="dxa" w:w="1662"/>
          </w:tcPr>
          <w:p>
            <w:pPr>
              <w:jc w:val="center"/>
            </w:pPr>
            <w:r>
              <w:rPr>
                <w:rFonts w:ascii="Times New Roman" w:hAnsi="Times New Roman" w:eastAsia="宋体"/>
                <w:b w:val="0"/>
                <w:i w:val="0"/>
                <w:sz w:val="21"/>
              </w:rPr>
              <w:t>式(4)</w:t>
            </w:r>
          </w:p>
        </w:tc>
        <w:tc>
          <w:tcPr>
            <w:tcW w:type="dxa" w:w="1662"/>
          </w:tcPr>
          <w:p>
            <w:pPr>
              <w:jc w:val="center"/>
            </w:pPr>
            <w:r>
              <w:rPr>
                <w:rFonts w:ascii="Times New Roman" w:hAnsi="Times New Roman" w:eastAsia="宋体"/>
                <w:b w:val="0"/>
                <w:i w:val="0"/>
                <w:sz w:val="21"/>
              </w:rPr>
              <w:t>式(4-2)(4-3)</w:t>
            </w:r>
          </w:p>
        </w:tc>
        <w:tc>
          <w:tcPr>
            <w:tcW w:type="dxa" w:w="1662"/>
          </w:tcPr>
          <w:p>
            <w:pPr>
              <w:jc w:val="center"/>
            </w:pPr>
            <w:r>
              <w:rPr>
                <w:rFonts w:ascii="Times New Roman" w:hAnsi="Times New Roman" w:eastAsia="宋体"/>
                <w:b w:val="0"/>
                <w:i w:val="0"/>
                <w:sz w:val="21"/>
              </w:rPr>
              <w:t>一致</w:t>
            </w:r>
          </w:p>
        </w:tc>
      </w:tr>
      <w:tr>
        <w:tc>
          <w:tcPr>
            <w:tcW w:type="dxa" w:w="1662"/>
          </w:tcPr>
          <w:p>
            <w:pPr>
              <w:jc w:val="left"/>
            </w:pPr>
            <w:r>
              <w:rPr>
                <w:rFonts w:ascii="Times New Roman" w:hAnsi="Times New Roman" w:eastAsia="宋体"/>
                <w:b w:val="0"/>
                <w:i w:val="0"/>
                <w:sz w:val="21"/>
              </w:rPr>
              <w:t>继承</w:t>
            </w:r>
          </w:p>
        </w:tc>
        <w:tc>
          <w:tcPr>
            <w:tcW w:type="dxa" w:w="1662"/>
          </w:tcPr>
          <w:p>
            <w:pPr>
              <w:jc w:val="center"/>
            </w:pPr>
            <w:r>
              <w:rPr>
                <w:rFonts w:ascii="Times New Roman" w:hAnsi="Times New Roman" w:eastAsia="宋体"/>
                <w:b w:val="0"/>
                <w:i w:val="0"/>
                <w:sz w:val="21"/>
              </w:rPr>
              <w:t>策略骨架</w:t>
            </w:r>
          </w:p>
        </w:tc>
        <w:tc>
          <w:tcPr>
            <w:tcW w:type="dxa" w:w="1662"/>
          </w:tcPr>
          <w:p>
            <w:pPr>
              <w:jc w:val="center"/>
            </w:pPr>
            <w:r>
              <w:rPr>
                <w:rFonts w:ascii="Times New Roman" w:hAnsi="Times New Roman" w:eastAsia="宋体"/>
                <w:b w:val="0"/>
                <w:i w:val="0"/>
                <w:sz w:val="21"/>
              </w:rPr>
              <w:t>式(6)(7)：q=(sᵃ)⁺ŵ</w:t>
            </w:r>
          </w:p>
        </w:tc>
        <w:tc>
          <w:tcPr>
            <w:tcW w:type="dxa" w:w="1662"/>
          </w:tcPr>
          <w:p>
            <w:pPr>
              <w:jc w:val="center"/>
            </w:pPr>
            <w:r>
              <w:rPr>
                <w:rFonts w:ascii="Times New Roman" w:hAnsi="Times New Roman" w:eastAsia="宋体"/>
                <w:b w:val="0"/>
                <w:i w:val="0"/>
                <w:sz w:val="21"/>
              </w:rPr>
              <w:t>式(4-5) 常规头同型</w:t>
            </w:r>
          </w:p>
        </w:tc>
        <w:tc>
          <w:tcPr>
            <w:tcW w:type="dxa" w:w="1662"/>
          </w:tcPr>
          <w:p>
            <w:pPr>
              <w:jc w:val="center"/>
            </w:pPr>
            <w:r>
              <w:rPr>
                <w:rFonts w:ascii="Times New Roman" w:hAnsi="Times New Roman" w:eastAsia="宋体"/>
                <w:b w:val="0"/>
                <w:i w:val="0"/>
                <w:sz w:val="21"/>
              </w:rPr>
              <w:t>一致</w:t>
            </w:r>
          </w:p>
        </w:tc>
      </w:tr>
      <w:tr>
        <w:tc>
          <w:tcPr>
            <w:tcW w:type="dxa" w:w="1662"/>
          </w:tcPr>
          <w:p>
            <w:pPr>
              <w:jc w:val="left"/>
            </w:pPr>
            <w:r>
              <w:rPr>
                <w:rFonts w:ascii="Times New Roman" w:hAnsi="Times New Roman" w:eastAsia="宋体"/>
                <w:b w:val="0"/>
                <w:i w:val="0"/>
                <w:sz w:val="21"/>
              </w:rPr>
              <w:t>继承</w:t>
            </w:r>
          </w:p>
        </w:tc>
        <w:tc>
          <w:tcPr>
            <w:tcW w:type="dxa" w:w="1662"/>
          </w:tcPr>
          <w:p>
            <w:pPr>
              <w:jc w:val="center"/>
            </w:pPr>
            <w:r>
              <w:rPr>
                <w:rFonts w:ascii="Times New Roman" w:hAnsi="Times New Roman" w:eastAsia="宋体"/>
                <w:b w:val="0"/>
                <w:i w:val="0"/>
                <w:sz w:val="21"/>
              </w:rPr>
              <w:t>网络三模块</w:t>
            </w:r>
          </w:p>
        </w:tc>
        <w:tc>
          <w:tcPr>
            <w:tcW w:type="dxa" w:w="1662"/>
          </w:tcPr>
          <w:p>
            <w:pPr>
              <w:jc w:val="center"/>
            </w:pPr>
            <w:r>
              <w:rPr>
                <w:rFonts w:ascii="Times New Roman" w:hAnsi="Times New Roman" w:eastAsia="宋体"/>
                <w:b w:val="0"/>
                <w:i w:val="0"/>
                <w:sz w:val="21"/>
              </w:rPr>
              <w:t>ψ₁∘ψ₂∘ψ₃，式(8)-(10)</w:t>
            </w:r>
          </w:p>
        </w:tc>
        <w:tc>
          <w:tcPr>
            <w:tcW w:type="dxa" w:w="1662"/>
          </w:tcPr>
          <w:p>
            <w:pPr>
              <w:jc w:val="center"/>
            </w:pPr>
            <w:r>
              <w:rPr>
                <w:rFonts w:ascii="Times New Roman" w:hAnsi="Times New Roman" w:eastAsia="宋体"/>
                <w:b w:val="0"/>
                <w:i w:val="0"/>
                <w:sz w:val="21"/>
              </w:rPr>
              <w:t>常规头完全保留</w:t>
            </w:r>
          </w:p>
        </w:tc>
        <w:tc>
          <w:tcPr>
            <w:tcW w:type="dxa" w:w="1662"/>
          </w:tcPr>
          <w:p>
            <w:pPr>
              <w:jc w:val="center"/>
            </w:pPr>
            <w:r>
              <w:rPr>
                <w:rFonts w:ascii="Times New Roman" w:hAnsi="Times New Roman" w:eastAsia="宋体"/>
                <w:b w:val="0"/>
                <w:i w:val="0"/>
                <w:sz w:val="21"/>
              </w:rPr>
              <w:t>一致</w:t>
            </w:r>
          </w:p>
        </w:tc>
      </w:tr>
      <w:tr>
        <w:tc>
          <w:tcPr>
            <w:tcW w:type="dxa" w:w="1662"/>
          </w:tcPr>
          <w:p>
            <w:pPr>
              <w:jc w:val="left"/>
            </w:pPr>
            <w:r>
              <w:rPr>
                <w:rFonts w:ascii="Times New Roman" w:hAnsi="Times New Roman" w:eastAsia="宋体"/>
                <w:b w:val="0"/>
                <w:i w:val="0"/>
                <w:sz w:val="21"/>
              </w:rPr>
              <w:t>继承</w:t>
            </w:r>
          </w:p>
        </w:tc>
        <w:tc>
          <w:tcPr>
            <w:tcW w:type="dxa" w:w="1662"/>
          </w:tcPr>
          <w:p>
            <w:pPr>
              <w:jc w:val="center"/>
            </w:pPr>
            <w:r>
              <w:rPr>
                <w:rFonts w:ascii="Times New Roman" w:hAnsi="Times New Roman" w:eastAsia="宋体"/>
                <w:b w:val="0"/>
                <w:i w:val="0"/>
                <w:sz w:val="21"/>
              </w:rPr>
              <w:t>优化器制度</w:t>
            </w:r>
          </w:p>
        </w:tc>
        <w:tc>
          <w:tcPr>
            <w:tcW w:type="dxa" w:w="1662"/>
          </w:tcPr>
          <w:p>
            <w:pPr>
              <w:jc w:val="center"/>
            </w:pPr>
            <w:r>
              <w:rPr>
                <w:rFonts w:ascii="Times New Roman" w:hAnsi="Times New Roman" w:eastAsia="宋体"/>
                <w:b w:val="0"/>
                <w:i w:val="0"/>
                <w:sz w:val="21"/>
              </w:rPr>
              <w:t>Adam 0.003 / ×0.98 / ≥1e-4</w:t>
            </w:r>
          </w:p>
        </w:tc>
        <w:tc>
          <w:tcPr>
            <w:tcW w:type="dxa" w:w="1662"/>
          </w:tcPr>
          <w:p>
            <w:pPr>
              <w:jc w:val="center"/>
            </w:pPr>
            <w:r>
              <w:rPr>
                <w:rFonts w:ascii="Times New Roman" w:hAnsi="Times New Roman" w:eastAsia="宋体"/>
                <w:b w:val="0"/>
                <w:i w:val="0"/>
                <w:sz w:val="21"/>
              </w:rPr>
              <w:t>相同</w:t>
            </w:r>
          </w:p>
        </w:tc>
        <w:tc>
          <w:tcPr>
            <w:tcW w:type="dxa" w:w="1662"/>
          </w:tcPr>
          <w:p>
            <w:pPr>
              <w:jc w:val="center"/>
            </w:pPr>
            <w:r>
              <w:rPr>
                <w:rFonts w:ascii="Times New Roman" w:hAnsi="Times New Roman" w:eastAsia="宋体"/>
                <w:b w:val="0"/>
                <w:i w:val="0"/>
                <w:sz w:val="21"/>
              </w:rPr>
              <w:t>一致</w:t>
            </w:r>
          </w:p>
        </w:tc>
      </w:tr>
      <w:tr>
        <w:tc>
          <w:tcPr>
            <w:tcW w:type="dxa" w:w="1662"/>
          </w:tcPr>
          <w:p>
            <w:pPr>
              <w:jc w:val="left"/>
            </w:pPr>
            <w:r>
              <w:rPr>
                <w:rFonts w:ascii="Times New Roman" w:hAnsi="Times New Roman" w:eastAsia="宋体"/>
                <w:b w:val="0"/>
                <w:i w:val="0"/>
                <w:sz w:val="21"/>
              </w:rPr>
              <w:t>继承</w:t>
            </w:r>
          </w:p>
        </w:tc>
        <w:tc>
          <w:tcPr>
            <w:tcW w:type="dxa" w:w="1662"/>
          </w:tcPr>
          <w:p>
            <w:pPr>
              <w:jc w:val="center"/>
            </w:pPr>
            <w:r>
              <w:rPr>
                <w:rFonts w:ascii="Times New Roman" w:hAnsi="Times New Roman" w:eastAsia="宋体"/>
                <w:b w:val="0"/>
                <w:i w:val="0"/>
                <w:sz w:val="21"/>
              </w:rPr>
              <w:t>公平条款</w:t>
            </w:r>
          </w:p>
        </w:tc>
        <w:tc>
          <w:tcPr>
            <w:tcW w:type="dxa" w:w="1662"/>
          </w:tcPr>
          <w:p>
            <w:pPr>
              <w:jc w:val="center"/>
            </w:pPr>
            <w:r>
              <w:rPr>
                <w:rFonts w:ascii="Times New Roman" w:hAnsi="Times New Roman" w:eastAsia="宋体"/>
                <w:b w:val="0"/>
                <w:i w:val="0"/>
                <w:sz w:val="21"/>
              </w:rPr>
              <w:t>初始库存0、前L期无在途、同S_L</w:t>
            </w:r>
          </w:p>
        </w:tc>
        <w:tc>
          <w:tcPr>
            <w:tcW w:type="dxa" w:w="1662"/>
          </w:tcPr>
          <w:p>
            <w:pPr>
              <w:jc w:val="center"/>
            </w:pPr>
            <w:r>
              <w:rPr>
                <w:rFonts w:ascii="Times New Roman" w:hAnsi="Times New Roman" w:eastAsia="宋体"/>
                <w:b w:val="0"/>
                <w:i w:val="0"/>
                <w:sz w:val="21"/>
              </w:rPr>
              <w:t>同款＋成对种子共享</w:t>
            </w:r>
          </w:p>
        </w:tc>
        <w:tc>
          <w:tcPr>
            <w:tcW w:type="dxa" w:w="1662"/>
          </w:tcPr>
          <w:p>
            <w:pPr>
              <w:jc w:val="center"/>
            </w:pPr>
            <w:r>
              <w:rPr>
                <w:rFonts w:ascii="Times New Roman" w:hAnsi="Times New Roman" w:eastAsia="宋体"/>
                <w:b w:val="0"/>
                <w:i w:val="0"/>
                <w:sz w:val="21"/>
              </w:rPr>
              <w:t>强化</w:t>
            </w:r>
          </w:p>
        </w:tc>
      </w:tr>
      <w:tr>
        <w:tc>
          <w:tcPr>
            <w:tcW w:type="dxa" w:w="1662"/>
          </w:tcPr>
          <w:p>
            <w:pPr>
              <w:jc w:val="left"/>
            </w:pPr>
            <w:r>
              <w:rPr>
                <w:rFonts w:ascii="Times New Roman" w:hAnsi="Times New Roman" w:eastAsia="宋体"/>
                <w:b w:val="0"/>
                <w:i w:val="0"/>
                <w:sz w:val="21"/>
              </w:rPr>
              <w:t>修改</w:t>
            </w:r>
          </w:p>
        </w:tc>
        <w:tc>
          <w:tcPr>
            <w:tcW w:type="dxa" w:w="1662"/>
          </w:tcPr>
          <w:p>
            <w:pPr>
              <w:jc w:val="center"/>
            </w:pPr>
            <w:r>
              <w:rPr>
                <w:rFonts w:ascii="Times New Roman" w:hAnsi="Times New Roman" w:eastAsia="宋体"/>
                <w:b w:val="0"/>
                <w:i w:val="0"/>
                <w:sz w:val="21"/>
              </w:rPr>
              <w:t>时间输入</w:t>
            </w:r>
          </w:p>
        </w:tc>
        <w:tc>
          <w:tcPr>
            <w:tcW w:type="dxa" w:w="1662"/>
          </w:tcPr>
          <w:p>
            <w:pPr>
              <w:jc w:val="center"/>
            </w:pPr>
            <w:r>
              <w:rPr>
                <w:rFonts w:ascii="Times New Roman" w:hAnsi="Times New Roman" w:eastAsia="宋体"/>
                <w:b w:val="0"/>
                <w:i w:val="0"/>
                <w:sz w:val="21"/>
              </w:rPr>
              <w:t>主文不含；附录C平稳设定下无增益</w:t>
            </w:r>
          </w:p>
        </w:tc>
        <w:tc>
          <w:tcPr>
            <w:tcW w:type="dxa" w:w="1662"/>
          </w:tcPr>
          <w:p>
            <w:pPr>
              <w:jc w:val="center"/>
            </w:pPr>
            <w:r>
              <w:rPr>
                <w:rFonts w:ascii="Times New Roman" w:hAnsi="Times New Roman" w:eastAsia="宋体"/>
                <w:b w:val="0"/>
                <w:i w:val="0"/>
                <w:sz w:val="21"/>
              </w:rPr>
              <w:t>sin/cos+t/T 入状态</w:t>
            </w:r>
          </w:p>
        </w:tc>
        <w:tc>
          <w:tcPr>
            <w:tcW w:type="dxa" w:w="1662"/>
          </w:tcPr>
          <w:p>
            <w:pPr>
              <w:jc w:val="center"/>
            </w:pPr>
            <w:r>
              <w:rPr>
                <w:rFonts w:ascii="Times New Roman" w:hAnsi="Times New Roman" w:eastAsia="宋体"/>
                <w:b w:val="0"/>
                <w:i w:val="0"/>
                <w:sz w:val="21"/>
              </w:rPr>
              <w:t>非平稳恢复马尔可夫性</w:t>
            </w:r>
          </w:p>
        </w:tc>
      </w:tr>
      <w:tr>
        <w:tc>
          <w:tcPr>
            <w:tcW w:type="dxa" w:w="1662"/>
          </w:tcPr>
          <w:p>
            <w:pPr>
              <w:jc w:val="left"/>
            </w:pPr>
            <w:r>
              <w:rPr>
                <w:rFonts w:ascii="Times New Roman" w:hAnsi="Times New Roman" w:eastAsia="宋体"/>
                <w:b w:val="0"/>
                <w:i w:val="0"/>
                <w:sz w:val="21"/>
              </w:rPr>
              <w:t>修改</w:t>
            </w:r>
          </w:p>
        </w:tc>
        <w:tc>
          <w:tcPr>
            <w:tcW w:type="dxa" w:w="1662"/>
          </w:tcPr>
          <w:p>
            <w:pPr>
              <w:jc w:val="center"/>
            </w:pPr>
            <w:r>
              <w:rPr>
                <w:rFonts w:ascii="Times New Roman" w:hAnsi="Times New Roman" w:eastAsia="宋体"/>
                <w:b w:val="0"/>
                <w:i w:val="0"/>
                <w:sz w:val="21"/>
              </w:rPr>
              <w:t>权重盒半宽</w:t>
            </w:r>
          </w:p>
        </w:tc>
        <w:tc>
          <w:tcPr>
            <w:tcW w:type="dxa" w:w="1662"/>
          </w:tcPr>
          <w:p>
            <w:pPr>
              <w:jc w:val="center"/>
            </w:pPr>
            <w:r>
              <w:rPr>
                <w:rFonts w:ascii="Times New Roman" w:hAnsi="Times New Roman" w:eastAsia="宋体"/>
                <w:b w:val="0"/>
                <w:i w:val="0"/>
                <w:sz w:val="21"/>
              </w:rPr>
              <w:t>人工标量 δ=0.25/0.0884</w:t>
            </w:r>
          </w:p>
        </w:tc>
        <w:tc>
          <w:tcPr>
            <w:tcW w:type="dxa" w:w="1662"/>
          </w:tcPr>
          <w:p>
            <w:pPr>
              <w:jc w:val="center"/>
            </w:pPr>
            <w:r>
              <w:rPr>
                <w:rFonts w:ascii="Times New Roman" w:hAnsi="Times New Roman" w:eastAsia="宋体"/>
                <w:b w:val="0"/>
                <w:i w:val="0"/>
                <w:sz w:val="21"/>
              </w:rPr>
              <w:t>Δ=0.25·√(2/2^(L−1))</w:t>
            </w:r>
          </w:p>
        </w:tc>
        <w:tc>
          <w:tcPr>
            <w:tcW w:type="dxa" w:w="1662"/>
          </w:tcPr>
          <w:p>
            <w:pPr>
              <w:jc w:val="center"/>
            </w:pPr>
            <w:r>
              <w:rPr>
                <w:rFonts w:ascii="Times New Roman" w:hAnsi="Times New Roman" w:eastAsia="宋体"/>
                <w:b w:val="0"/>
                <w:i w:val="0"/>
                <w:sz w:val="21"/>
              </w:rPr>
              <w:t>注记4.1；L=5 复现 0.0884</w:t>
            </w:r>
          </w:p>
        </w:tc>
      </w:tr>
      <w:tr>
        <w:tc>
          <w:tcPr>
            <w:tcW w:type="dxa" w:w="1662"/>
          </w:tcPr>
          <w:p>
            <w:pPr>
              <w:jc w:val="left"/>
            </w:pPr>
            <w:r>
              <w:rPr>
                <w:rFonts w:ascii="Times New Roman" w:hAnsi="Times New Roman" w:eastAsia="宋体"/>
                <w:b w:val="0"/>
                <w:i w:val="0"/>
                <w:sz w:val="21"/>
              </w:rPr>
              <w:t>修改</w:t>
            </w:r>
          </w:p>
        </w:tc>
        <w:tc>
          <w:tcPr>
            <w:tcW w:type="dxa" w:w="1662"/>
          </w:tcPr>
          <w:p>
            <w:pPr>
              <w:jc w:val="center"/>
            </w:pPr>
            <w:r>
              <w:rPr>
                <w:rFonts w:ascii="Times New Roman" w:hAnsi="Times New Roman" w:eastAsia="宋体"/>
                <w:b w:val="0"/>
                <w:i w:val="0"/>
                <w:sz w:val="21"/>
              </w:rPr>
              <w:t>网络输入</w:t>
            </w:r>
          </w:p>
        </w:tc>
        <w:tc>
          <w:tcPr>
            <w:tcW w:type="dxa" w:w="1662"/>
          </w:tcPr>
          <w:p>
            <w:pPr>
              <w:jc w:val="center"/>
            </w:pPr>
            <w:r>
              <w:rPr>
                <w:rFonts w:ascii="Times New Roman" w:hAnsi="Times New Roman" w:eastAsia="宋体"/>
                <w:b w:val="0"/>
                <w:i w:val="0"/>
                <w:sz w:val="21"/>
              </w:rPr>
              <w:t>含 S_L（L+1 节点）</w:t>
            </w:r>
          </w:p>
        </w:tc>
        <w:tc>
          <w:tcPr>
            <w:tcW w:type="dxa" w:w="1662"/>
          </w:tcPr>
          <w:p>
            <w:pPr>
              <w:jc w:val="center"/>
            </w:pPr>
            <w:r>
              <w:rPr>
                <w:rFonts w:ascii="Times New Roman" w:hAnsi="Times New Roman" w:eastAsia="宋体"/>
                <w:b w:val="0"/>
                <w:i w:val="0"/>
                <w:sz w:val="21"/>
              </w:rPr>
              <w:t>剔除 S_L（L+3 维）</w:t>
            </w:r>
          </w:p>
        </w:tc>
        <w:tc>
          <w:tcPr>
            <w:tcW w:type="dxa" w:w="1662"/>
          </w:tcPr>
          <w:p>
            <w:pPr>
              <w:jc w:val="center"/>
            </w:pPr>
            <w:r>
              <w:rPr>
                <w:rFonts w:ascii="Times New Roman" w:hAnsi="Times New Roman" w:eastAsia="宋体"/>
                <w:b w:val="0"/>
                <w:i w:val="0"/>
                <w:sz w:val="21"/>
              </w:rPr>
              <w:t>注记3.2</w:t>
            </w:r>
          </w:p>
        </w:tc>
      </w:tr>
      <w:tr>
        <w:tc>
          <w:tcPr>
            <w:tcW w:type="dxa" w:w="1662"/>
          </w:tcPr>
          <w:p>
            <w:pPr>
              <w:jc w:val="left"/>
            </w:pPr>
            <w:r>
              <w:rPr>
                <w:rFonts w:ascii="Times New Roman" w:hAnsi="Times New Roman" w:eastAsia="宋体"/>
                <w:b w:val="0"/>
                <w:i w:val="0"/>
                <w:sz w:val="21"/>
              </w:rPr>
              <w:t>修改</w:t>
            </w:r>
          </w:p>
        </w:tc>
        <w:tc>
          <w:tcPr>
            <w:tcW w:type="dxa" w:w="1662"/>
          </w:tcPr>
          <w:p>
            <w:pPr>
              <w:jc w:val="center"/>
            </w:pPr>
            <w:r>
              <w:rPr>
                <w:rFonts w:ascii="Times New Roman" w:hAnsi="Times New Roman" w:eastAsia="宋体"/>
                <w:b w:val="0"/>
                <w:i w:val="0"/>
                <w:sz w:val="21"/>
              </w:rPr>
              <w:t>隐藏层/训练制</w:t>
            </w:r>
          </w:p>
        </w:tc>
        <w:tc>
          <w:tcPr>
            <w:tcW w:type="dxa" w:w="1662"/>
          </w:tcPr>
          <w:p>
            <w:pPr>
              <w:jc w:val="center"/>
            </w:pPr>
            <w:r>
              <w:rPr>
                <w:rFonts w:ascii="Times New Roman" w:hAnsi="Times New Roman" w:eastAsia="宋体"/>
                <w:b w:val="0"/>
                <w:i w:val="0"/>
                <w:sz w:val="21"/>
              </w:rPr>
              <w:t>[8,16,16]；500集全批≤300轮</w:t>
            </w:r>
          </w:p>
        </w:tc>
        <w:tc>
          <w:tcPr>
            <w:tcW w:type="dxa" w:w="1662"/>
          </w:tcPr>
          <w:p>
            <w:pPr>
              <w:jc w:val="center"/>
            </w:pPr>
            <w:r>
              <w:rPr>
                <w:rFonts w:ascii="Times New Roman" w:hAnsi="Times New Roman" w:eastAsia="宋体"/>
                <w:b w:val="0"/>
                <w:i w:val="0"/>
                <w:sz w:val="21"/>
              </w:rPr>
              <w:t>[16,32,32]；30集滚动批＋三重早停</w:t>
            </w:r>
          </w:p>
        </w:tc>
        <w:tc>
          <w:tcPr>
            <w:tcW w:type="dxa" w:w="1662"/>
          </w:tcPr>
          <w:p>
            <w:pPr>
              <w:jc w:val="center"/>
            </w:pPr>
            <w:r>
              <w:rPr>
                <w:rFonts w:ascii="Times New Roman" w:hAnsi="Times New Roman" w:eastAsia="宋体"/>
                <w:b w:val="0"/>
                <w:i w:val="0"/>
                <w:sz w:val="21"/>
              </w:rPr>
              <w:t>锚定下快收敛</w:t>
            </w:r>
          </w:p>
        </w:tc>
      </w:tr>
      <w:tr>
        <w:tc>
          <w:tcPr>
            <w:tcW w:type="dxa" w:w="1662"/>
          </w:tcPr>
          <w:p>
            <w:pPr>
              <w:jc w:val="left"/>
            </w:pPr>
            <w:r>
              <w:rPr>
                <w:rFonts w:ascii="Times New Roman" w:hAnsi="Times New Roman" w:eastAsia="宋体"/>
                <w:b w:val="0"/>
                <w:i w:val="0"/>
                <w:sz w:val="21"/>
              </w:rPr>
              <w:t>新增</w:t>
            </w:r>
          </w:p>
        </w:tc>
        <w:tc>
          <w:tcPr>
            <w:tcW w:type="dxa" w:w="1662"/>
          </w:tcPr>
          <w:p>
            <w:pPr>
              <w:jc w:val="center"/>
            </w:pPr>
            <w:r>
              <w:rPr>
                <w:rFonts w:ascii="Times New Roman" w:hAnsi="Times New Roman" w:eastAsia="宋体"/>
                <w:b w:val="0"/>
                <w:i w:val="0"/>
                <w:sz w:val="21"/>
              </w:rPr>
              <w:t>应急渠道 q2 头</w:t>
            </w:r>
          </w:p>
        </w:tc>
        <w:tc>
          <w:tcPr>
            <w:tcW w:type="dxa" w:w="1662"/>
          </w:tcPr>
          <w:p>
            <w:pPr>
              <w:jc w:val="center"/>
            </w:pPr>
            <w:r>
              <w:rPr>
                <w:rFonts w:ascii="Times New Roman" w:hAnsi="Times New Roman" w:eastAsia="宋体"/>
                <w:b w:val="0"/>
                <w:i w:val="0"/>
                <w:sz w:val="21"/>
              </w:rPr>
              <w:t>无</w:t>
            </w:r>
          </w:p>
        </w:tc>
        <w:tc>
          <w:tcPr>
            <w:tcW w:type="dxa" w:w="1662"/>
          </w:tcPr>
          <w:p>
            <w:pPr>
              <w:jc w:val="center"/>
            </w:pPr>
            <w:r>
              <w:rPr>
                <w:rFonts w:ascii="Times New Roman" w:hAnsi="Times New Roman" w:eastAsia="宋体"/>
                <w:b w:val="0"/>
                <w:i w:val="0"/>
                <w:sz w:val="21"/>
              </w:rPr>
              <w:t>tanh 盒子 ε=0.5，式(4-7)</w:t>
            </w:r>
          </w:p>
        </w:tc>
        <w:tc>
          <w:tcPr>
            <w:tcW w:type="dxa" w:w="1662"/>
          </w:tcPr>
          <w:p>
            <w:pPr>
              <w:jc w:val="center"/>
            </w:pPr>
            <w:r>
              <w:rPr>
                <w:rFonts w:ascii="Times New Roman" w:hAnsi="Times New Roman" w:eastAsia="宋体"/>
                <w:b w:val="0"/>
                <w:i w:val="0"/>
                <w:sz w:val="21"/>
              </w:rPr>
              <w:t>双源机制</w:t>
            </w:r>
          </w:p>
        </w:tc>
      </w:tr>
      <w:tr>
        <w:tc>
          <w:tcPr>
            <w:tcW w:type="dxa" w:w="1662"/>
          </w:tcPr>
          <w:p>
            <w:pPr>
              <w:jc w:val="left"/>
            </w:pPr>
            <w:r>
              <w:rPr>
                <w:rFonts w:ascii="Times New Roman" w:hAnsi="Times New Roman" w:eastAsia="宋体"/>
                <w:b w:val="0"/>
                <w:i w:val="0"/>
                <w:sz w:val="21"/>
              </w:rPr>
              <w:t>新增</w:t>
            </w:r>
          </w:p>
        </w:tc>
        <w:tc>
          <w:tcPr>
            <w:tcW w:type="dxa" w:w="1662"/>
          </w:tcPr>
          <w:p>
            <w:pPr>
              <w:jc w:val="center"/>
            </w:pPr>
            <w:r>
              <w:rPr>
                <w:rFonts w:ascii="Times New Roman" w:hAnsi="Times New Roman" w:eastAsia="宋体"/>
                <w:b w:val="0"/>
                <w:i w:val="0"/>
                <w:sz w:val="21"/>
              </w:rPr>
              <w:t>NV / HEUR 基准</w:t>
            </w:r>
          </w:p>
        </w:tc>
        <w:tc>
          <w:tcPr>
            <w:tcW w:type="dxa" w:w="1662"/>
          </w:tcPr>
          <w:p>
            <w:pPr>
              <w:jc w:val="center"/>
            </w:pPr>
            <w:r>
              <w:rPr>
                <w:rFonts w:ascii="Times New Roman" w:hAnsi="Times New Roman" w:eastAsia="宋体"/>
                <w:b w:val="0"/>
                <w:i w:val="0"/>
                <w:sz w:val="21"/>
              </w:rPr>
              <w:t>无</w:t>
            </w:r>
          </w:p>
        </w:tc>
        <w:tc>
          <w:tcPr>
            <w:tcW w:type="dxa" w:w="1662"/>
          </w:tcPr>
          <w:p>
            <w:pPr>
              <w:jc w:val="center"/>
            </w:pPr>
            <w:r>
              <w:rPr>
                <w:rFonts w:ascii="Times New Roman" w:hAnsi="Times New Roman" w:eastAsia="宋体"/>
                <w:b w:val="0"/>
                <w:i w:val="0"/>
                <w:sz w:val="21"/>
              </w:rPr>
              <w:t>式(4-4)</w:t>
            </w:r>
          </w:p>
        </w:tc>
        <w:tc>
          <w:tcPr>
            <w:tcW w:type="dxa" w:w="1662"/>
          </w:tcPr>
          <w:p>
            <w:pPr>
              <w:jc w:val="center"/>
            </w:pPr>
            <w:r>
              <w:rPr>
                <w:rFonts w:ascii="Times New Roman" w:hAnsi="Times New Roman" w:eastAsia="宋体"/>
                <w:b w:val="0"/>
                <w:i w:val="0"/>
                <w:sz w:val="21"/>
              </w:rPr>
              <w:t>双源基准与教师</w:t>
            </w:r>
          </w:p>
        </w:tc>
      </w:tr>
      <w:tr>
        <w:tc>
          <w:tcPr>
            <w:tcW w:type="dxa" w:w="1662"/>
          </w:tcPr>
          <w:p>
            <w:pPr>
              <w:jc w:val="left"/>
            </w:pPr>
            <w:r>
              <w:rPr>
                <w:rFonts w:ascii="Times New Roman" w:hAnsi="Times New Roman" w:eastAsia="宋体"/>
                <w:b w:val="0"/>
                <w:i w:val="0"/>
                <w:sz w:val="21"/>
              </w:rPr>
              <w:t>新增</w:t>
            </w:r>
          </w:p>
        </w:tc>
        <w:tc>
          <w:tcPr>
            <w:tcW w:type="dxa" w:w="1662"/>
          </w:tcPr>
          <w:p>
            <w:pPr>
              <w:jc w:val="center"/>
            </w:pPr>
            <w:r>
              <w:rPr>
                <w:rFonts w:ascii="Times New Roman" w:hAnsi="Times New Roman" w:eastAsia="宋体"/>
                <w:b w:val="0"/>
                <w:i w:val="0"/>
                <w:sz w:val="21"/>
              </w:rPr>
              <w:t>动态 S0(t)、季节参数化 SL(u)</w:t>
            </w:r>
          </w:p>
        </w:tc>
        <w:tc>
          <w:tcPr>
            <w:tcW w:type="dxa" w:w="1662"/>
          </w:tcPr>
          <w:p>
            <w:pPr>
              <w:jc w:val="center"/>
            </w:pPr>
            <w:r>
              <w:rPr>
                <w:rFonts w:ascii="Times New Roman" w:hAnsi="Times New Roman" w:eastAsia="宋体"/>
                <w:b w:val="0"/>
                <w:i w:val="0"/>
                <w:sz w:val="21"/>
              </w:rPr>
              <w:t>无（附录D.2 逐期 S_L^t 思想）</w:t>
            </w:r>
          </w:p>
        </w:tc>
        <w:tc>
          <w:tcPr>
            <w:tcW w:type="dxa" w:w="1662"/>
          </w:tcPr>
          <w:p>
            <w:pPr>
              <w:jc w:val="center"/>
            </w:pPr>
            <w:r>
              <w:rPr>
                <w:rFonts w:ascii="Times New Roman" w:hAnsi="Times New Roman" w:eastAsia="宋体"/>
                <w:b w:val="0"/>
                <w:i w:val="0"/>
                <w:sz w:val="21"/>
              </w:rPr>
              <w:t>式(3-6)、式(3-7)</w:t>
            </w:r>
          </w:p>
        </w:tc>
        <w:tc>
          <w:tcPr>
            <w:tcW w:type="dxa" w:w="1662"/>
          </w:tcPr>
          <w:p>
            <w:pPr>
              <w:jc w:val="center"/>
            </w:pPr>
            <w:r>
              <w:rPr>
                <w:rFonts w:ascii="Times New Roman" w:hAnsi="Times New Roman" w:eastAsia="宋体"/>
                <w:b w:val="0"/>
                <w:i w:val="0"/>
                <w:sz w:val="21"/>
              </w:rPr>
              <w:t>闭式推广</w:t>
            </w:r>
          </w:p>
        </w:tc>
      </w:tr>
    </w:tbl>
    <w:p>
      <w:pPr>
        <w:spacing w:after="0"/>
      </w:pP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