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35080" w14:textId="77777777" w:rsidR="007530AF" w:rsidRDefault="007530AF">
      <w:pPr>
        <w:rPr>
          <w:rFonts w:eastAsia="黑体"/>
          <w:b/>
          <w:sz w:val="24"/>
        </w:rPr>
      </w:pPr>
      <w:r>
        <w:rPr>
          <w:rFonts w:eastAsia="黑体" w:hint="eastAsia"/>
          <w:sz w:val="24"/>
        </w:rPr>
        <w:t>1</w:t>
      </w:r>
      <w:r>
        <w:rPr>
          <w:rFonts w:eastAsia="黑体" w:hint="eastAsia"/>
          <w:sz w:val="24"/>
        </w:rPr>
        <w:t>．研究问题</w:t>
      </w:r>
      <w:r>
        <w:rPr>
          <w:rFonts w:eastAsia="黑体" w:hint="eastAsia"/>
          <w:sz w:val="24"/>
        </w:rPr>
        <w:t xml:space="preserve">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7530AF" w14:paraId="69B53C1C" w14:textId="77777777">
        <w:trPr>
          <w:trHeight w:val="13206"/>
        </w:trPr>
        <w:tc>
          <w:tcPr>
            <w:tcW w:w="8522" w:type="dxa"/>
          </w:tcPr>
          <w:p w14:paraId="21641F89" w14:textId="77777777" w:rsidR="007530AF" w:rsidRDefault="007530AF">
            <w:pPr>
              <w:spacing w:before="120"/>
              <w:rPr>
                <w:rFonts w:ascii="黑体" w:eastAsia="黑体"/>
                <w:sz w:val="24"/>
              </w:rPr>
            </w:pPr>
            <w:r>
              <w:rPr>
                <w:rFonts w:ascii="黑体" w:eastAsia="黑体" w:hint="eastAsia"/>
                <w:sz w:val="24"/>
              </w:rPr>
              <w:t>1）</w:t>
            </w:r>
            <w:r w:rsidR="002721A6">
              <w:rPr>
                <w:rFonts w:ascii="黑体" w:eastAsia="黑体" w:hint="eastAsia"/>
                <w:sz w:val="24"/>
              </w:rPr>
              <w:t>所要</w:t>
            </w:r>
            <w:r w:rsidR="002721A6">
              <w:rPr>
                <w:rFonts w:ascii="黑体" w:eastAsia="黑体"/>
                <w:sz w:val="24"/>
              </w:rPr>
              <w:t>研究</w:t>
            </w:r>
            <w:r>
              <w:rPr>
                <w:rFonts w:ascii="黑体" w:eastAsia="黑体" w:hint="eastAsia"/>
                <w:sz w:val="24"/>
              </w:rPr>
              <w:t>的</w:t>
            </w:r>
            <w:r w:rsidR="009E02A0">
              <w:rPr>
                <w:rFonts w:ascii="黑体" w:eastAsia="黑体" w:hint="eastAsia"/>
                <w:sz w:val="24"/>
              </w:rPr>
              <w:t>本</w:t>
            </w:r>
            <w:r w:rsidR="009E02A0">
              <w:rPr>
                <w:rFonts w:ascii="黑体" w:eastAsia="黑体"/>
                <w:sz w:val="24"/>
              </w:rPr>
              <w:t>专业领域的</w:t>
            </w:r>
            <w:r>
              <w:rPr>
                <w:rFonts w:ascii="黑体" w:eastAsia="黑体" w:hint="eastAsia"/>
                <w:sz w:val="24"/>
              </w:rPr>
              <w:t>科学</w:t>
            </w:r>
            <w:r w:rsidR="009E02A0">
              <w:rPr>
                <w:rFonts w:ascii="黑体" w:eastAsia="黑体" w:hint="eastAsia"/>
                <w:sz w:val="24"/>
              </w:rPr>
              <w:t>技术</w:t>
            </w:r>
            <w:r>
              <w:rPr>
                <w:rFonts w:ascii="黑体" w:eastAsia="黑体" w:hint="eastAsia"/>
                <w:sz w:val="24"/>
              </w:rPr>
              <w:t>问题</w:t>
            </w:r>
          </w:p>
          <w:p w14:paraId="694A7697" w14:textId="77777777" w:rsidR="00087980" w:rsidRDefault="007530AF" w:rsidP="00D274D7">
            <w:pPr>
              <w:spacing w:before="120"/>
              <w:ind w:firstLineChars="200" w:firstLine="480"/>
              <w:rPr>
                <w:rFonts w:ascii="黑体" w:eastAsia="黑体" w:hAnsi="黑体"/>
                <w:sz w:val="24"/>
              </w:rPr>
            </w:pPr>
            <w:r>
              <w:rPr>
                <w:rFonts w:ascii="黑体" w:eastAsia="黑体" w:hAnsi="黑体"/>
                <w:sz w:val="24"/>
              </w:rPr>
              <w:t>本课题所属学科方向为工业工程与管理中的生产运作与供应链优化，所要研究的科学技术问题是：在具有全有或全无（all-or-nothing）随机良率与非零提前期特征的生产/供应环节中，当企业同时面临季节性非平稳需求与双源（常规＋应急）采购渠道时，如何建立满足马尔可夫性的有限期序贯决策模型，并设计能够在高维、非凸的状态—动作空间中稳定求解该模型的深度强化学习方法，使企业的期望折扣总成本最小化。</w:t>
            </w:r>
          </w:p>
          <w:p w14:paraId="191A86DD" w14:textId="3199832F" w:rsidR="007530AF" w:rsidRDefault="007530AF" w:rsidP="00D274D7">
            <w:pPr>
              <w:spacing w:before="120"/>
              <w:ind w:firstLineChars="200" w:firstLine="480"/>
              <w:rPr>
                <w:rFonts w:ascii="黑体" w:eastAsia="黑体"/>
                <w:sz w:val="24"/>
              </w:rPr>
            </w:pPr>
            <w:r>
              <w:rPr>
                <w:rFonts w:ascii="黑体" w:eastAsia="黑体" w:hAnsi="黑体"/>
                <w:sz w:val="24"/>
              </w:rPr>
              <w:t>具体包含三个层面的技术问题：其一，如何在需求非平稳条件下构造状态空间，使扩充后的决策过程重新满足马尔可夫性；其二，如何设计融合启发式先验知识的网络架构，在保证训练稳定性的同时兼顾常规渠道与应急渠道的协同优化；其三，如何通过系统性的数值实验与消融实验，检验所提方法相对传统启发式规则的性能优势及其适用边界。</w:t>
            </w:r>
          </w:p>
          <w:p w14:paraId="29B499B0" w14:textId="77777777" w:rsidR="007530AF" w:rsidRDefault="007530AF">
            <w:pPr>
              <w:spacing w:before="120"/>
              <w:rPr>
                <w:rFonts w:ascii="黑体" w:eastAsia="黑体"/>
                <w:sz w:val="24"/>
              </w:rPr>
            </w:pPr>
            <w:r>
              <w:rPr>
                <w:rFonts w:ascii="黑体" w:eastAsia="黑体" w:hint="eastAsia"/>
                <w:sz w:val="24"/>
              </w:rPr>
              <w:t>2）</w:t>
            </w:r>
            <w:r w:rsidR="00F12641">
              <w:rPr>
                <w:rFonts w:ascii="黑体" w:eastAsia="黑体" w:hint="eastAsia"/>
                <w:sz w:val="24"/>
              </w:rPr>
              <w:t>研究背景</w:t>
            </w:r>
            <w:r w:rsidR="002721A6">
              <w:rPr>
                <w:rFonts w:ascii="黑体" w:eastAsia="黑体" w:hint="eastAsia"/>
                <w:sz w:val="24"/>
              </w:rPr>
              <w:t>及</w:t>
            </w:r>
            <w:r>
              <w:rPr>
                <w:rFonts w:ascii="黑体" w:eastAsia="黑体" w:hint="eastAsia"/>
                <w:sz w:val="24"/>
              </w:rPr>
              <w:t>选题依据</w:t>
            </w:r>
          </w:p>
          <w:p w14:paraId="1078C0C5" w14:textId="3D5C7619" w:rsidR="007530AF" w:rsidRDefault="007530AF" w:rsidP="00D274D7">
            <w:pPr>
              <w:spacing w:before="120"/>
              <w:ind w:firstLineChars="200" w:firstLine="480"/>
              <w:rPr>
                <w:rFonts w:ascii="黑体" w:eastAsia="黑体"/>
                <w:sz w:val="24"/>
              </w:rPr>
            </w:pPr>
            <w:r>
              <w:rPr>
                <w:rFonts w:ascii="黑体" w:eastAsia="黑体" w:hAnsi="黑体"/>
                <w:sz w:val="24"/>
              </w:rPr>
              <w:t>现代生物制药、精细化工等生产过程普遍存在“全有或全无”式的随机良率现象：原材料或中间产品在完成质量检测前无法确知其是否合格，一旦检测不合格则整批报废，不存在部分合格的情形。与此同时，呼吸道感染、流感等疾病具有明显的季节性流行规律，导致相关药品</w:t>
            </w:r>
            <w:r w:rsidR="000A64C8">
              <w:rPr>
                <w:rFonts w:ascii="黑体" w:eastAsia="黑体" w:hAnsi="黑体" w:hint="eastAsia"/>
                <w:sz w:val="24"/>
              </w:rPr>
              <w:t>和化学试剂</w:t>
            </w:r>
            <w:r>
              <w:rPr>
                <w:rFonts w:ascii="黑体" w:eastAsia="黑体" w:hAnsi="黑体" w:hint="eastAsia"/>
                <w:sz w:val="24"/>
              </w:rPr>
              <w:t>的</w:t>
            </w:r>
            <w:r>
              <w:rPr>
                <w:rFonts w:ascii="黑体" w:eastAsia="黑体" w:hAnsi="黑体"/>
                <w:sz w:val="24"/>
              </w:rPr>
              <w:t>终端需求呈现均值与波动同步起伏的非平稳特征。为兼顾成本与供应可靠性，企业通常在价格较低、提前期较长但存在良率风险的常规采购渠道之外，配置一条价格较高但交付几乎即时、质量完全可靠的应急采购渠道，以应对流行季的突发性缺货风险。</w:t>
            </w:r>
          </w:p>
          <w:p w14:paraId="1CDE6106" w14:textId="77777777" w:rsidR="00087980" w:rsidRDefault="007530AF" w:rsidP="00087980">
            <w:pPr>
              <w:spacing w:before="120"/>
              <w:ind w:firstLineChars="200" w:firstLine="480"/>
              <w:rPr>
                <w:rFonts w:ascii="黑体" w:eastAsia="黑体" w:hAnsi="黑体"/>
                <w:sz w:val="24"/>
              </w:rPr>
            </w:pPr>
            <w:r>
              <w:rPr>
                <w:rFonts w:ascii="黑体" w:eastAsia="黑体" w:hAnsi="黑体"/>
                <w:sz w:val="24"/>
              </w:rPr>
              <w:t xml:space="preserve">现有关于随机良率库存系统的研究，如 Huh 与 Nagarajan（2010）的线性膨胀规则、Chen 等（2018）的加权报童启发式，以及 Yan 等（2026）将深度强化学习引入库存管理的探索性工作，大多建立在单一供应源、需求平稳的简化假设之上，难以直接刻画上述“双源协同＋季节性适应”的联合决策问题；而现有关于双源采购与供应中断管理的研究，如 Wang 等（2010）、Tang 等（2014）将供应中断视为随机良率特例的分析，以及 </w:t>
            </w:r>
            <w:proofErr w:type="spellStart"/>
            <w:r>
              <w:rPr>
                <w:rFonts w:ascii="黑体" w:eastAsia="黑体" w:hAnsi="黑体"/>
                <w:sz w:val="24"/>
              </w:rPr>
              <w:t>Federgruen</w:t>
            </w:r>
            <w:proofErr w:type="spellEnd"/>
            <w:r>
              <w:rPr>
                <w:rFonts w:ascii="黑体" w:eastAsia="黑体" w:hAnsi="黑体"/>
                <w:sz w:val="24"/>
              </w:rPr>
              <w:t xml:space="preserve"> 与 Yang（2011）对不可靠供应商采购策略的刻画，又普遍未考虑全有或全无良率这一特定供应风险形式下的提前期耦合效应。本课题正是针对这一尚未被充分覆盖的交叉领域而提出，具有明确的理论缺口与现实工程背景。</w:t>
            </w:r>
          </w:p>
          <w:p w14:paraId="0387F227" w14:textId="0B0AA0D9" w:rsidR="007530AF" w:rsidRDefault="000A64C8" w:rsidP="00D274D7">
            <w:pPr>
              <w:spacing w:before="120"/>
              <w:ind w:firstLineChars="200" w:firstLine="480"/>
              <w:rPr>
                <w:rFonts w:ascii="黑体" w:eastAsia="黑体"/>
                <w:sz w:val="24"/>
              </w:rPr>
            </w:pPr>
            <w:r>
              <w:rPr>
                <w:rFonts w:ascii="黑体" w:eastAsia="黑体" w:hAnsi="黑体" w:hint="eastAsia"/>
                <w:sz w:val="24"/>
              </w:rPr>
              <w:t>此外，该联合决策问题的状态空间随提前期与渠道数量呈指数级增长，而季节性非平稳与良率随机性又破坏了传统动态规划等确定性优化方法所依赖的凸性与平稳性假设，使得依赖显式最优化求解或人工调参的传统运筹学启发式方法难以稳定求解</w:t>
            </w:r>
            <w:r w:rsidR="00087980">
              <w:rPr>
                <w:rFonts w:ascii="黑体" w:eastAsia="黑体" w:hAnsi="黑体" w:hint="eastAsia"/>
                <w:sz w:val="24"/>
              </w:rPr>
              <w:t>。</w:t>
            </w:r>
            <w:r>
              <w:rPr>
                <w:rFonts w:ascii="黑体" w:eastAsia="黑体" w:hAnsi="黑体" w:hint="eastAsia"/>
                <w:sz w:val="24"/>
              </w:rPr>
              <w:t>本课题选择深度强化学习</w:t>
            </w:r>
            <w:r w:rsidR="00087980">
              <w:rPr>
                <w:rFonts w:ascii="黑体" w:eastAsia="黑体" w:hAnsi="黑体" w:hint="eastAsia"/>
                <w:sz w:val="24"/>
              </w:rPr>
              <w:t>作为核心求解工具，该方法</w:t>
            </w:r>
            <w:r>
              <w:rPr>
                <w:rFonts w:ascii="黑体" w:eastAsia="黑体" w:hAnsi="黑体" w:hint="eastAsia"/>
                <w:sz w:val="24"/>
              </w:rPr>
              <w:t>能在高维、非凸、非平稳环境中通过与仿真环境持续交互来自适应学习决策策略</w:t>
            </w:r>
            <w:r w:rsidR="00087980">
              <w:rPr>
                <w:rFonts w:ascii="黑体" w:eastAsia="黑体" w:hAnsi="黑体" w:hint="eastAsia"/>
                <w:sz w:val="24"/>
              </w:rPr>
              <w:t>。</w:t>
            </w:r>
          </w:p>
          <w:p w14:paraId="11617892" w14:textId="77777777" w:rsidR="002721A6" w:rsidRDefault="007530AF" w:rsidP="002721A6">
            <w:pPr>
              <w:spacing w:before="120"/>
              <w:rPr>
                <w:rFonts w:ascii="黑体" w:eastAsia="黑体"/>
                <w:sz w:val="24"/>
              </w:rPr>
            </w:pPr>
            <w:r>
              <w:rPr>
                <w:rFonts w:ascii="黑体" w:eastAsia="黑体" w:hint="eastAsia"/>
                <w:sz w:val="24"/>
              </w:rPr>
              <w:t>3）研究目标</w:t>
            </w:r>
          </w:p>
          <w:p w14:paraId="10778D9F" w14:textId="77777777" w:rsidR="00087980" w:rsidRDefault="007530AF" w:rsidP="00087980">
            <w:pPr>
              <w:spacing w:before="120"/>
              <w:ind w:firstLineChars="200" w:firstLine="480"/>
              <w:rPr>
                <w:rFonts w:ascii="黑体" w:eastAsia="黑体" w:hAnsi="黑体"/>
                <w:sz w:val="24"/>
              </w:rPr>
            </w:pPr>
            <w:r>
              <w:rPr>
                <w:rFonts w:ascii="黑体" w:eastAsia="黑体" w:hAnsi="黑体"/>
                <w:sz w:val="24"/>
              </w:rPr>
              <w:t>本课题的研究目标是：</w:t>
            </w:r>
          </w:p>
          <w:p w14:paraId="4824ECC7" w14:textId="77777777" w:rsidR="00087980" w:rsidRDefault="007530AF" w:rsidP="00087980">
            <w:pPr>
              <w:spacing w:before="120"/>
              <w:ind w:firstLineChars="200" w:firstLine="480"/>
              <w:rPr>
                <w:rFonts w:ascii="黑体" w:eastAsia="黑体" w:hAnsi="黑体"/>
                <w:sz w:val="24"/>
              </w:rPr>
            </w:pPr>
            <w:r>
              <w:rPr>
                <w:rFonts w:ascii="黑体" w:eastAsia="黑体" w:hAnsi="黑体"/>
                <w:sz w:val="24"/>
              </w:rPr>
              <w:t>（1）建立季节性非平稳需求与双源采购下全有或全无良率库存系统的有限期马尔可夫决策过程模型，并从理论上证明引入时间感知状态编码后该过程重新满足马尔可夫性；</w:t>
            </w:r>
          </w:p>
          <w:p w14:paraId="4D0592FC" w14:textId="77777777" w:rsidR="00087980" w:rsidRDefault="007530AF" w:rsidP="00087980">
            <w:pPr>
              <w:spacing w:before="120"/>
              <w:ind w:firstLineChars="200" w:firstLine="480"/>
              <w:rPr>
                <w:rFonts w:ascii="黑体" w:eastAsia="黑体" w:hAnsi="黑体"/>
                <w:sz w:val="24"/>
              </w:rPr>
            </w:pPr>
            <w:r>
              <w:rPr>
                <w:rFonts w:ascii="黑体" w:eastAsia="黑体" w:hAnsi="黑体"/>
                <w:sz w:val="24"/>
              </w:rPr>
              <w:lastRenderedPageBreak/>
              <w:t>（2）设计一种融合启发式先验、适用于双渠道联合决策的深度强化学习求解架构，并给出相应的训练算法与同种子蒙特卡洛评估协议；</w:t>
            </w:r>
          </w:p>
          <w:p w14:paraId="635B2791" w14:textId="4B9C7A1D" w:rsidR="002721A6" w:rsidRDefault="007530AF" w:rsidP="00D274D7">
            <w:pPr>
              <w:spacing w:before="120"/>
              <w:ind w:firstLineChars="200" w:firstLine="480"/>
              <w:rPr>
                <w:rFonts w:ascii="黑体" w:eastAsia="黑体"/>
                <w:sz w:val="24"/>
              </w:rPr>
            </w:pPr>
            <w:r>
              <w:rPr>
                <w:rFonts w:ascii="黑体" w:eastAsia="黑体" w:hAnsi="黑体"/>
                <w:sz w:val="24"/>
              </w:rPr>
              <w:t>（3）通过覆盖主要参数维度的全网格数值实验与消融实验，系统评估所提方法相对启发式基准的性能优势及其内在作用机理，形成面向企业的管理启示。</w:t>
            </w:r>
          </w:p>
          <w:p w14:paraId="3B09DE29" w14:textId="77777777" w:rsidR="007530AF" w:rsidRDefault="002721A6" w:rsidP="002721A6">
            <w:pPr>
              <w:spacing w:before="120"/>
              <w:rPr>
                <w:rFonts w:ascii="黑体" w:eastAsia="黑体"/>
                <w:sz w:val="24"/>
              </w:rPr>
            </w:pPr>
            <w:r>
              <w:rPr>
                <w:rFonts w:ascii="黑体" w:eastAsia="黑体" w:hint="eastAsia"/>
                <w:sz w:val="24"/>
              </w:rPr>
              <w:t>4）</w:t>
            </w:r>
            <w:r w:rsidR="009E02A0">
              <w:rPr>
                <w:rFonts w:ascii="黑体" w:eastAsia="黑体" w:hint="eastAsia"/>
                <w:sz w:val="24"/>
              </w:rPr>
              <w:t>专业</w:t>
            </w:r>
            <w:r w:rsidR="007530AF">
              <w:rPr>
                <w:rFonts w:ascii="黑体" w:eastAsia="黑体" w:hint="eastAsia"/>
                <w:sz w:val="24"/>
              </w:rPr>
              <w:t>理论意义</w:t>
            </w:r>
            <w:r w:rsidR="009E02A0">
              <w:rPr>
                <w:rFonts w:ascii="黑体" w:eastAsia="黑体" w:hint="eastAsia"/>
                <w:sz w:val="24"/>
              </w:rPr>
              <w:t>及</w:t>
            </w:r>
            <w:r w:rsidR="009E02A0">
              <w:rPr>
                <w:rFonts w:ascii="黑体" w:eastAsia="黑体"/>
                <w:sz w:val="24"/>
              </w:rPr>
              <w:t>实际</w:t>
            </w:r>
            <w:r w:rsidR="007530AF">
              <w:rPr>
                <w:rFonts w:ascii="黑体" w:eastAsia="黑体" w:hint="eastAsia"/>
                <w:sz w:val="24"/>
              </w:rPr>
              <w:t>应用价值</w:t>
            </w:r>
          </w:p>
          <w:p w14:paraId="029C0E08" w14:textId="31C95982" w:rsidR="00087980" w:rsidRDefault="002721A6" w:rsidP="002721A6">
            <w:pPr>
              <w:spacing w:before="120"/>
              <w:rPr>
                <w:rFonts w:ascii="黑体" w:eastAsia="黑体" w:hAnsi="黑体"/>
                <w:sz w:val="24"/>
              </w:rPr>
            </w:pPr>
            <w:r>
              <w:rPr>
                <w:rFonts w:ascii="黑体" w:eastAsia="黑体" w:hAnsi="黑体"/>
                <w:sz w:val="24"/>
              </w:rPr>
              <w:t>理论意义</w:t>
            </w:r>
            <w:r w:rsidR="00087980">
              <w:rPr>
                <w:rFonts w:ascii="黑体" w:eastAsia="黑体" w:hAnsi="黑体" w:hint="eastAsia"/>
                <w:sz w:val="24"/>
              </w:rPr>
              <w:t>：</w:t>
            </w:r>
          </w:p>
          <w:p w14:paraId="049CA7BC" w14:textId="6574D426" w:rsidR="007530AF" w:rsidRDefault="002721A6" w:rsidP="00D274D7">
            <w:pPr>
              <w:spacing w:before="120"/>
              <w:ind w:firstLineChars="200" w:firstLine="480"/>
              <w:rPr>
                <w:rFonts w:ascii="黑体" w:eastAsia="黑体"/>
                <w:sz w:val="24"/>
              </w:rPr>
            </w:pPr>
            <w:r>
              <w:rPr>
                <w:rFonts w:ascii="黑体" w:eastAsia="黑体" w:hAnsi="黑体"/>
                <w:sz w:val="24"/>
              </w:rPr>
              <w:t>本课题将随机良率库存理论中的全有或全无模式、双源采购的供应风险缓释理论、以及非平稳马尔可夫决策过程中的状态扩充方法相结合，拓展了全有或全无良率库存模型在双源与非平稳需求场景下的理论边界，并通过消融实验回答</w:t>
            </w:r>
            <w:r w:rsidR="00087980" w:rsidDel="00087980">
              <w:rPr>
                <w:rFonts w:ascii="黑体" w:eastAsia="黑体" w:hAnsi="黑体"/>
                <w:sz w:val="24"/>
              </w:rPr>
              <w:t xml:space="preserve"> </w:t>
            </w:r>
            <w:r>
              <w:rPr>
                <w:rFonts w:ascii="黑体" w:eastAsia="黑体" w:hAnsi="黑体"/>
                <w:sz w:val="24"/>
              </w:rPr>
              <w:t>“时间感知状态设计在何种求解架构下真正发挥作用”这一此前文献未充分讨论的问题。</w:t>
            </w:r>
          </w:p>
          <w:p w14:paraId="2F5233E1" w14:textId="4DFBB063" w:rsidR="00BD125B" w:rsidRDefault="002721A6" w:rsidP="002721A6">
            <w:pPr>
              <w:spacing w:before="120"/>
              <w:rPr>
                <w:rFonts w:ascii="黑体" w:eastAsia="黑体" w:hAnsi="黑体"/>
                <w:sz w:val="24"/>
              </w:rPr>
            </w:pPr>
            <w:r>
              <w:rPr>
                <w:rFonts w:ascii="黑体" w:eastAsia="黑体" w:hAnsi="黑体"/>
                <w:sz w:val="24"/>
              </w:rPr>
              <w:t>实际应用价值</w:t>
            </w:r>
            <w:r w:rsidR="00BD125B">
              <w:rPr>
                <w:rFonts w:ascii="黑体" w:eastAsia="黑体" w:hAnsi="黑体" w:hint="eastAsia"/>
                <w:sz w:val="24"/>
              </w:rPr>
              <w:t>：</w:t>
            </w:r>
          </w:p>
          <w:p w14:paraId="08DB8CCD" w14:textId="4BAAA619" w:rsidR="007530AF" w:rsidRDefault="002721A6" w:rsidP="00D274D7">
            <w:pPr>
              <w:spacing w:before="120"/>
              <w:ind w:firstLineChars="200" w:firstLine="480"/>
              <w:rPr>
                <w:rFonts w:ascii="黑体" w:eastAsia="黑体"/>
                <w:sz w:val="24"/>
              </w:rPr>
            </w:pPr>
            <w:r>
              <w:rPr>
                <w:rFonts w:ascii="黑体" w:eastAsia="黑体" w:hAnsi="黑体"/>
                <w:sz w:val="24"/>
              </w:rPr>
              <w:t>本课题的研究成果可为医药等存在全有或全无质量风险、且需求具有明显季节性的生产企业提供可操作的补货决策工具与管理启示</w:t>
            </w:r>
            <w:r w:rsidR="00BD125B">
              <w:rPr>
                <w:rFonts w:ascii="黑体" w:eastAsia="黑体" w:hAnsi="黑体" w:hint="eastAsia"/>
                <w:sz w:val="24"/>
              </w:rPr>
              <w:t>。</w:t>
            </w:r>
            <w:r>
              <w:rPr>
                <w:rFonts w:ascii="黑体" w:eastAsia="黑体" w:hAnsi="黑体"/>
                <w:sz w:val="24"/>
              </w:rPr>
              <w:t>企业可依据本课题提出的动态目标库存与应急安全</w:t>
            </w:r>
            <w:r w:rsidR="00300FF0">
              <w:rPr>
                <w:rFonts w:ascii="黑体" w:eastAsia="黑体" w:hAnsi="黑体" w:hint="eastAsia"/>
                <w:sz w:val="24"/>
              </w:rPr>
              <w:t>库存</w:t>
            </w:r>
            <w:r>
              <w:rPr>
                <w:rFonts w:ascii="黑体" w:eastAsia="黑体" w:hAnsi="黑体"/>
                <w:sz w:val="24"/>
              </w:rPr>
              <w:t>公式动态调整常规与应急渠道的订货策略，在保障药品可及性的同时降低整体供应链成本，对提升企业运营效率与供应链韧性具有现实指导意义。</w:t>
            </w:r>
            <w:r w:rsidR="000A64C8">
              <w:rPr>
                <w:rFonts w:ascii="黑体" w:eastAsia="黑体" w:hAnsi="黑体" w:hint="eastAsia"/>
                <w:sz w:val="24"/>
              </w:rPr>
              <w:t>最终，相较于依赖人工调参、且仅在特定参数区间内有效的传统启发式规则，本课题训练得到的深度强化学习策略能够端到端地从数据中学习高维、非平稳环境下的补货决策规律，为同类存在全有或全无良率风险的季节性生产企业提供一种可直接复现、可迁移部署的智能决策方法。</w:t>
            </w:r>
          </w:p>
        </w:tc>
      </w:tr>
    </w:tbl>
    <w:p w14:paraId="68CFDB61" w14:textId="77777777" w:rsidR="009C6FD2" w:rsidRDefault="009C6FD2">
      <w:pPr>
        <w:rPr>
          <w:rFonts w:eastAsia="黑体"/>
          <w:sz w:val="24"/>
        </w:rPr>
      </w:pPr>
    </w:p>
    <w:p w14:paraId="09D557F0" w14:textId="77777777" w:rsidR="00E24D3A" w:rsidRDefault="00E24D3A">
      <w:pPr>
        <w:rPr>
          <w:rFonts w:eastAsia="黑体"/>
          <w:sz w:val="24"/>
        </w:rPr>
      </w:pPr>
    </w:p>
    <w:p w14:paraId="092016F2" w14:textId="77777777" w:rsidR="007530AF" w:rsidRDefault="007530AF">
      <w:pPr>
        <w:rPr>
          <w:rFonts w:eastAsia="黑体"/>
          <w:sz w:val="24"/>
        </w:rPr>
      </w:pPr>
      <w:r>
        <w:rPr>
          <w:rFonts w:eastAsia="黑体" w:hint="eastAsia"/>
          <w:sz w:val="24"/>
        </w:rPr>
        <w:lastRenderedPageBreak/>
        <w:t>2</w:t>
      </w:r>
      <w:r>
        <w:rPr>
          <w:rFonts w:eastAsia="黑体" w:hint="eastAsia"/>
          <w:sz w:val="24"/>
        </w:rPr>
        <w:t>．文献综述</w:t>
      </w:r>
      <w:r>
        <w:rPr>
          <w:rFonts w:ascii="黑体" w:eastAsia="黑体" w:hint="eastAsia"/>
          <w:sz w:val="24"/>
        </w:rPr>
        <w:t>（不得少于</w:t>
      </w:r>
      <w:r w:rsidR="009E02A0">
        <w:rPr>
          <w:rFonts w:ascii="黑体" w:eastAsia="黑体" w:hint="eastAsia"/>
          <w:sz w:val="24"/>
        </w:rPr>
        <w:t>2</w:t>
      </w:r>
      <w:r>
        <w:rPr>
          <w:rFonts w:ascii="黑体" w:eastAsia="黑体" w:hint="eastAsia"/>
          <w:sz w:val="24"/>
        </w:rPr>
        <w:t>000字）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7"/>
      </w:tblGrid>
      <w:tr w:rsidR="007530AF" w14:paraId="44E73831" w14:textId="77777777">
        <w:trPr>
          <w:trHeight w:val="13206"/>
        </w:trPr>
        <w:tc>
          <w:tcPr>
            <w:tcW w:w="8567" w:type="dxa"/>
            <w:tcBorders>
              <w:top w:val="single" w:sz="12" w:space="0" w:color="auto"/>
              <w:left w:val="single" w:sz="12" w:space="0" w:color="auto"/>
              <w:bottom w:val="single" w:sz="12" w:space="0" w:color="auto"/>
              <w:right w:val="single" w:sz="12" w:space="0" w:color="auto"/>
            </w:tcBorders>
          </w:tcPr>
          <w:p w14:paraId="11CC5115" w14:textId="6CB2E8A4" w:rsidR="00BD125B" w:rsidRDefault="00BD125B">
            <w:pPr>
              <w:spacing w:before="120"/>
              <w:rPr>
                <w:rFonts w:ascii="黑体" w:eastAsia="黑体" w:hAnsi="黑体"/>
                <w:sz w:val="24"/>
              </w:rPr>
            </w:pPr>
            <w:r>
              <w:rPr>
                <w:rFonts w:ascii="黑体" w:eastAsia="黑体" w:hAnsi="黑体" w:hint="eastAsia"/>
                <w:sz w:val="24"/>
              </w:rPr>
              <w:t>1）库存问题的研究</w:t>
            </w:r>
          </w:p>
          <w:p w14:paraId="0D0B60C6" w14:textId="77777777" w:rsidR="00BD125B" w:rsidRDefault="007530AF" w:rsidP="00BD125B">
            <w:pPr>
              <w:spacing w:before="120"/>
              <w:ind w:firstLineChars="200" w:firstLine="480"/>
              <w:rPr>
                <w:rFonts w:ascii="黑体" w:eastAsia="黑体" w:hAnsi="黑体"/>
                <w:sz w:val="24"/>
              </w:rPr>
            </w:pPr>
            <w:r>
              <w:rPr>
                <w:rFonts w:ascii="黑体" w:eastAsia="黑体" w:hAnsi="黑体"/>
                <w:sz w:val="24"/>
              </w:rPr>
              <w:t>报童模型是刻画单周期随机需求下最优订货决策的经典工具，国内学者对其扩展形式有持续的积累：张菊亮、章祥荪、王耀球（2008）研究了一般需求函数下报童模型的定价与库存联合控制，杨建奎、周清、杨磊（2009）分析了报童模型中利润与亏损风险的平衡问题，孟志青、郑敏超（2020）进一步研究了零售价波动销售策略下的报童订货模型，李刚、马卫民、杨瑞臣（2017）则针对需求可延期满足的场景构建了扩展报童模型；这些工作共同构成了本课题应急渠道报童基线设计的方法论背景。</w:t>
            </w:r>
          </w:p>
          <w:p w14:paraId="2F1CFB4F" w14:textId="088C38E4" w:rsidR="007530AF" w:rsidRDefault="007530AF" w:rsidP="00BD125B">
            <w:pPr>
              <w:spacing w:before="120"/>
              <w:ind w:firstLineChars="200" w:firstLine="480"/>
              <w:rPr>
                <w:rFonts w:ascii="黑体" w:eastAsia="黑体" w:hAnsi="黑体"/>
                <w:sz w:val="24"/>
              </w:rPr>
            </w:pPr>
            <w:r>
              <w:rPr>
                <w:rFonts w:ascii="黑体" w:eastAsia="黑体" w:hAnsi="黑体"/>
                <w:sz w:val="24"/>
              </w:rPr>
              <w:t>随机良率库存问题的研究可按提前期是否为零划分为两支。在零提前期一支，Henig 与 Gerchak（1990）对随机比例良率模型（即批次内各单位共享同一随机良率实现的“共同成因”型良率，区别于逐件独立成功/失败的二项型良率）给出了系统的结构性分析，证明最优补货策略由一个时变的临界目标库存水平刻画；</w:t>
            </w:r>
            <w:proofErr w:type="spellStart"/>
            <w:r>
              <w:rPr>
                <w:rFonts w:ascii="黑体" w:eastAsia="黑体" w:hAnsi="黑体"/>
                <w:sz w:val="24"/>
              </w:rPr>
              <w:t>Bollapragada</w:t>
            </w:r>
            <w:proofErr w:type="spellEnd"/>
            <w:r>
              <w:rPr>
                <w:rFonts w:ascii="黑体" w:eastAsia="黑体" w:hAnsi="黑体"/>
                <w:sz w:val="24"/>
              </w:rPr>
              <w:t xml:space="preserve"> 与 Morton（1999）在此基础上提出了报童型与 NLH-2 近似启发式，Li、Xu 与 Zheng（2008）则在更一般的随机良率与需求联合分布下给出了最优策略的界与近似启发式；Huh 与 Nagarajan（2010）进一步提出线性膨胀规则（LIR），以简单的线性形式刻画良率折扣，成为该领域的经典基准方法。在非零提前期一支，</w:t>
            </w:r>
            <w:proofErr w:type="spellStart"/>
            <w:r>
              <w:rPr>
                <w:rFonts w:ascii="黑体" w:eastAsia="黑体" w:hAnsi="黑体"/>
                <w:sz w:val="24"/>
              </w:rPr>
              <w:t>Inderfurth</w:t>
            </w:r>
            <w:proofErr w:type="spellEnd"/>
            <w:r>
              <w:rPr>
                <w:rFonts w:ascii="黑体" w:eastAsia="黑体" w:hAnsi="黑体"/>
                <w:sz w:val="24"/>
              </w:rPr>
              <w:t>（2009）将参数确定方法推广至非零提前期场景；</w:t>
            </w:r>
            <w:proofErr w:type="spellStart"/>
            <w:r>
              <w:rPr>
                <w:rFonts w:ascii="黑体" w:eastAsia="黑体" w:hAnsi="黑体"/>
                <w:sz w:val="24"/>
              </w:rPr>
              <w:t>Inderfurth</w:t>
            </w:r>
            <w:proofErr w:type="spellEnd"/>
            <w:r>
              <w:rPr>
                <w:rFonts w:ascii="黑体" w:eastAsia="黑体" w:hAnsi="黑体"/>
                <w:sz w:val="24"/>
              </w:rPr>
              <w:t xml:space="preserve"> 与 Vogelgesang（2013）给出了安全库存的闭式近似公式；</w:t>
            </w:r>
            <w:proofErr w:type="spellStart"/>
            <w:r>
              <w:rPr>
                <w:rFonts w:ascii="黑体" w:eastAsia="黑体" w:hAnsi="黑体"/>
                <w:sz w:val="24"/>
              </w:rPr>
              <w:t>Inderfurth</w:t>
            </w:r>
            <w:proofErr w:type="spellEnd"/>
            <w:r>
              <w:rPr>
                <w:rFonts w:ascii="黑体" w:eastAsia="黑体" w:hAnsi="黑体"/>
                <w:sz w:val="24"/>
              </w:rPr>
              <w:t xml:space="preserve"> 与 </w:t>
            </w:r>
            <w:proofErr w:type="spellStart"/>
            <w:r>
              <w:rPr>
                <w:rFonts w:ascii="黑体" w:eastAsia="黑体" w:hAnsi="黑体"/>
                <w:sz w:val="24"/>
              </w:rPr>
              <w:t>Kiesmüller</w:t>
            </w:r>
            <w:proofErr w:type="spellEnd"/>
            <w:r>
              <w:rPr>
                <w:rFonts w:ascii="黑体" w:eastAsia="黑体" w:hAnsi="黑体"/>
                <w:sz w:val="24"/>
              </w:rPr>
              <w:t>（2015）则聚焦于平稳线性膨胀策略类的理论性质。Chen 等（2018）针对全有或全无良率模式提出了加权报童启发式（WNH），通过枚举在途订单的全部良率实现路径并按概率加权，充分利用了该模式的组合结构；Yan 等（2026）在此基础上系统建立了有限期马尔可夫决策过程框架，提出梯度下降搜索启发式与定制深度强化学习算法，并指出该框架仍局限于单一供应源与需求平稳假设。国内学者对随机产出下的最优订货策略也有持续关注：张永、张卫国、徐维军（2015）在无统计信息假设下研究了多阶段报童决策；张桂清、徐寅峰（2010）基于概率预期为需求分布信息不完全的报童问题设计了最小风险策略；王海燕、隽志如与 Henry Xu（2018）研究了需求分布规律变化情况下的报童订货策略；祁玉青、徐清清（2025）则在需求数据删失的情形下构建了分布鲁棒报童定价与库存联合决策模型，赵梦蝶、王长军、周赛玉（2025）进一步在价格与需求数据同时稀缺的条件下提出了鲁棒 CVaR 报童模型。王海燕团队在需求不确定下的库存与采购决策方面有持续积累：隽志如、王海燕（2013）提出了基于需求分布突变检测的两阶段库存管理方法，吴军建、王海燕（2019）研究了供应商采取成本减少努力时的垂直需求信息共享问题，石雪飞、王海燕（2021）进一步研究了库存容量有限条件下的产品选择与联合采购决策。此外，曹裕、易超群、万光羽（2018）针对易逝品随机生产库存系统研究了动态定价、服务水平与生产控制的联合策略，赵川、揭海华、王珏、周永圣（2018）基于反馈控制理论研究了牛鞭效应自补偿机制对多级库存系统的影响，这两项工作虽不涉及良率风险，但为本课题中动态目标库存与安全</w:t>
            </w:r>
            <w:r w:rsidR="00300FF0">
              <w:rPr>
                <w:rFonts w:ascii="黑体" w:eastAsia="黑体" w:hAnsi="黑体" w:hint="eastAsia"/>
                <w:sz w:val="24"/>
              </w:rPr>
              <w:t>库存</w:t>
            </w:r>
            <w:r>
              <w:rPr>
                <w:rFonts w:ascii="黑体" w:eastAsia="黑体" w:hAnsi="黑体"/>
                <w:sz w:val="24"/>
              </w:rPr>
              <w:t>公式的理论构造提供了方法论参照。</w:t>
            </w:r>
          </w:p>
          <w:p w14:paraId="77006E20" w14:textId="2693DA6F" w:rsidR="00AB3846" w:rsidRPr="00D274D7" w:rsidRDefault="00BD125B">
            <w:pPr>
              <w:spacing w:before="120"/>
              <w:rPr>
                <w:rFonts w:ascii="黑体" w:eastAsia="黑体" w:hAnsi="黑体"/>
                <w:sz w:val="24"/>
              </w:rPr>
            </w:pPr>
            <w:r>
              <w:rPr>
                <w:rFonts w:ascii="黑体" w:eastAsia="黑体" w:hAnsi="黑体" w:hint="eastAsia"/>
                <w:sz w:val="24"/>
              </w:rPr>
              <w:t>2）双源采购的研究</w:t>
            </w:r>
          </w:p>
          <w:p w14:paraId="286AD001" w14:textId="77777777" w:rsidR="00BD125B" w:rsidRDefault="005E0DBD" w:rsidP="00D274D7">
            <w:pPr>
              <w:spacing w:before="120"/>
              <w:ind w:firstLineChars="150" w:firstLine="360"/>
              <w:rPr>
                <w:rFonts w:ascii="黑体" w:eastAsia="黑体" w:hAnsi="黑体"/>
                <w:sz w:val="24"/>
              </w:rPr>
            </w:pPr>
            <w:r>
              <w:rPr>
                <w:rFonts w:ascii="黑体" w:eastAsia="黑体" w:hAnsi="黑体"/>
                <w:sz w:val="24"/>
              </w:rPr>
              <w:t>双源采购是缓释供应风险的重要手段之一。供应中断可视为随机比例良率的</w:t>
            </w:r>
            <w:r>
              <w:rPr>
                <w:rFonts w:ascii="黑体" w:eastAsia="黑体" w:hAnsi="黑体"/>
                <w:sz w:val="24"/>
              </w:rPr>
              <w:lastRenderedPageBreak/>
              <w:t>特例，当中断表现为“全额到货或零到货”时，在数学上与全有或全无良率模式等价（Wang 等，2010；Tang 等，2014）。国外研究中，</w:t>
            </w:r>
            <w:proofErr w:type="spellStart"/>
            <w:r>
              <w:rPr>
                <w:rFonts w:ascii="黑体" w:eastAsia="黑体" w:hAnsi="黑体"/>
                <w:sz w:val="24"/>
              </w:rPr>
              <w:t>Federgruen</w:t>
            </w:r>
            <w:proofErr w:type="spellEnd"/>
            <w:r>
              <w:rPr>
                <w:rFonts w:ascii="黑体" w:eastAsia="黑体" w:hAnsi="黑体"/>
                <w:sz w:val="24"/>
              </w:rPr>
              <w:t xml:space="preserve"> 与 Yang（2011）将多供应商随机良率模型中的最优采购策略进行了系统刻画，Li（2017）、Bu 等（2020）、</w:t>
            </w:r>
            <w:proofErr w:type="spellStart"/>
            <w:r>
              <w:rPr>
                <w:rFonts w:ascii="黑体" w:eastAsia="黑体" w:hAnsi="黑体"/>
                <w:sz w:val="24"/>
              </w:rPr>
              <w:t>DeCroix</w:t>
            </w:r>
            <w:proofErr w:type="spellEnd"/>
            <w:r>
              <w:rPr>
                <w:rFonts w:ascii="黑体" w:eastAsia="黑体" w:hAnsi="黑体"/>
                <w:sz w:val="24"/>
              </w:rPr>
              <w:t>（2013）、</w:t>
            </w:r>
            <w:proofErr w:type="spellStart"/>
            <w:r>
              <w:rPr>
                <w:rFonts w:ascii="黑体" w:eastAsia="黑体" w:hAnsi="黑体"/>
                <w:sz w:val="24"/>
              </w:rPr>
              <w:t>Kouvelis</w:t>
            </w:r>
            <w:proofErr w:type="spellEnd"/>
            <w:r>
              <w:rPr>
                <w:rFonts w:ascii="黑体" w:eastAsia="黑体" w:hAnsi="黑体"/>
                <w:sz w:val="24"/>
              </w:rPr>
              <w:t xml:space="preserve"> 等（2018）、Yuan 等（2021）分别从随机良率风险、装配系统、供应链金融等角度拓展了该方向。国内研究同样丰富：陈崇萍、陈志祥（2019）研究了供应商产出随机与供应中断同时存在时制造商的双源采购决策，建立了制造商与两个供应商之间的博弈模型；张斌、张欢、王夏阳（2021）考虑采购商投资下的双源采购与供应商定价决策，构建了 Stackelberg 与 Bertrand 博弈复合模型；钱佳、骆建文（2014）研究了主供应商产能随机时零售商对主、备供应商的最优订购策略；张文杰、骆建文（2013）比较了风险双源与混合双源两种应急采购策略在突发事件下的有效性；陈崇萍、卓晓坡、陈杰（2023）进一步在不同付款方式下研究了供应不确定企业的采购源与定价策略。面向供应中断与应急管理的研究同样活跃：李新军、王建军、达庆利（2016）分析了基于备份供应商的应急决策；董银红、郑琪、李龙（2021）建立了考虑供应风险的多源应急物资采购双层规划模型；孔繁辉、李健（2018）、王军进、许淞俊、刘家国（2024）、余乐安、王丹萍、曾能民（2024）分别从供应链弹性运作、信号博弈与供应链重构的角度研究了供应中断风险下的应对策略；刘晓、李海越、王成恩、储诚斌（2004）对供应商选择模型与方法作了系统综述。</w:t>
            </w:r>
          </w:p>
          <w:p w14:paraId="05E1E4C9" w14:textId="24BA851D" w:rsidR="0000439A" w:rsidRDefault="005E0DBD" w:rsidP="00D274D7">
            <w:pPr>
              <w:spacing w:before="120"/>
              <w:ind w:firstLineChars="200" w:firstLine="480"/>
              <w:rPr>
                <w:rFonts w:ascii="黑体" w:eastAsia="黑体" w:hAnsi="黑体"/>
                <w:sz w:val="24"/>
              </w:rPr>
            </w:pPr>
            <w:r>
              <w:rPr>
                <w:rFonts w:ascii="黑体" w:eastAsia="黑体" w:hAnsi="黑体"/>
                <w:sz w:val="24"/>
              </w:rPr>
              <w:t>上述研究普遍以“两类静态可靠性参数的供应源”为前提比较渠道配置，较少涉及本课题中“常规渠道存在非零提前期且在途订单面临全有或全无风险、应急渠道按需求相位动态触发”这一耦合结构。此外，王军进、张白羽、刘家国（2024）研究了供应中断风险下具有质量差异的产品组合定价与采购策略，马潇宇、黄明珠、杨朦晰（2023）与袁业虎、吴端端（2025）分别基于组态视角与供应链溢出视角实证考察了供应链韧性的影响因素，陈金晓、陈剑（2022）则从宏观视角讨论了大变局下供应链的高质量发展路径，这些研究从风险缓释与韧性提升的角度进一步印证了双源配置对企业应对供应不确定性的现实价值，但同样未触及本课题所关注的全有或全无良率与双源渠道耦合问题。</w:t>
            </w:r>
          </w:p>
          <w:p w14:paraId="22917FB4" w14:textId="112F9BBC" w:rsidR="00BD125B" w:rsidRPr="00D274D7" w:rsidRDefault="00BD125B" w:rsidP="00D274D7">
            <w:pPr>
              <w:spacing w:before="120"/>
              <w:rPr>
                <w:rFonts w:ascii="黑体" w:eastAsia="黑体" w:hAnsi="黑体"/>
                <w:sz w:val="24"/>
              </w:rPr>
            </w:pPr>
            <w:r>
              <w:rPr>
                <w:rFonts w:ascii="黑体" w:eastAsia="黑体" w:hAnsi="黑体"/>
                <w:sz w:val="24"/>
              </w:rPr>
              <w:t>3</w:t>
            </w:r>
            <w:r>
              <w:rPr>
                <w:rFonts w:ascii="黑体" w:eastAsia="黑体" w:hAnsi="黑体" w:hint="eastAsia"/>
                <w:sz w:val="24"/>
              </w:rPr>
              <w:t>）基于强化学习的应用研究</w:t>
            </w:r>
          </w:p>
          <w:p w14:paraId="3758ECE3" w14:textId="69848E03" w:rsidR="00BD125B" w:rsidRDefault="005E0DBD" w:rsidP="00D274D7">
            <w:pPr>
              <w:spacing w:before="120"/>
              <w:ind w:firstLineChars="200" w:firstLine="480"/>
            </w:pPr>
            <w:r>
              <w:rPr>
                <w:rFonts w:ascii="黑体" w:eastAsia="黑体" w:hAnsi="黑体"/>
                <w:sz w:val="24"/>
              </w:rPr>
              <w:t>强化学习擅长求解序贯决策问题，深度神经网络能够有效缓解维数灾难，二者结合形成的深度强化学习近年来在库存管理领域获得了大量应用。</w:t>
            </w:r>
            <w:proofErr w:type="spellStart"/>
            <w:r>
              <w:rPr>
                <w:rFonts w:ascii="黑体" w:eastAsia="黑体" w:hAnsi="黑体"/>
                <w:sz w:val="24"/>
              </w:rPr>
              <w:t>Boute</w:t>
            </w:r>
            <w:proofErr w:type="spellEnd"/>
            <w:r>
              <w:rPr>
                <w:rFonts w:ascii="黑体" w:eastAsia="黑体" w:hAnsi="黑体"/>
                <w:sz w:val="24"/>
              </w:rPr>
              <w:t xml:space="preserve"> 等（2022）为该领域提供了系统的路线图式综述；</w:t>
            </w:r>
            <w:proofErr w:type="spellStart"/>
            <w:r>
              <w:rPr>
                <w:rFonts w:ascii="黑体" w:eastAsia="黑体" w:hAnsi="黑体"/>
                <w:sz w:val="24"/>
              </w:rPr>
              <w:t>Gijsbrechts</w:t>
            </w:r>
            <w:proofErr w:type="spellEnd"/>
            <w:r>
              <w:rPr>
                <w:rFonts w:ascii="黑体" w:eastAsia="黑体" w:hAnsi="黑体"/>
                <w:sz w:val="24"/>
              </w:rPr>
              <w:t xml:space="preserve"> 等（2022）验证了异步优势演员—评论家算法可有效求解丢失销售、双源采购与多级库存三类经典问题；</w:t>
            </w:r>
            <w:proofErr w:type="spellStart"/>
            <w:r>
              <w:rPr>
                <w:rFonts w:ascii="黑体" w:eastAsia="黑体" w:hAnsi="黑体"/>
                <w:sz w:val="24"/>
              </w:rPr>
              <w:t>Oroojlooyjadid</w:t>
            </w:r>
            <w:proofErr w:type="spellEnd"/>
            <w:r>
              <w:rPr>
                <w:rFonts w:ascii="黑体" w:eastAsia="黑体" w:hAnsi="黑体"/>
                <w:sz w:val="24"/>
              </w:rPr>
              <w:t xml:space="preserve"> 等（2022）提出塑形奖励深度 Q 网络求解啤酒博弈；De Moor 等（2022）在易腐品库存问题中利用启发式领域知识对奖励进行塑形；</w:t>
            </w:r>
            <w:proofErr w:type="spellStart"/>
            <w:r>
              <w:rPr>
                <w:rFonts w:ascii="黑体" w:eastAsia="黑体" w:hAnsi="黑体"/>
                <w:sz w:val="24"/>
              </w:rPr>
              <w:t>Kaynov</w:t>
            </w:r>
            <w:proofErr w:type="spellEnd"/>
            <w:r>
              <w:rPr>
                <w:rFonts w:ascii="黑体" w:eastAsia="黑体" w:hAnsi="黑体"/>
                <w:sz w:val="24"/>
              </w:rPr>
              <w:t xml:space="preserve"> 等（2024）、Wang 与 Minner（2024）分别将深度强化学习应用于多零售商库存管理与在线零售需求履约问题。这些工作共享一条方法论线索：把已有启发式的领域知识注入学习过程（作为初始解、奖励塑形项或结构先验）是提升样本效率与训练稳定性的关键，Yan 等（2026）将这一思想推进到策略结构层面，把启发式权重直接作为网络输出的可行域中心。国内方面，邵思淇、钟远光、陈植、李延希（2024）运用文献计量方法对数据驱动库存管理的研究现状进行了系统梳理，归纳了报童与动态库存两类场景下的主要数据驱动决策方法，但国内文献中专门针对深度强化学习与全有或全无良率、双源采购相结合的系统性研究尚不多见，体现出该交叉方向在国内研究中仍有较大拓展空间。在相邻的维修备件</w:t>
            </w:r>
            <w:r>
              <w:rPr>
                <w:rFonts w:ascii="黑体" w:eastAsia="黑体" w:hAnsi="黑体"/>
                <w:sz w:val="24"/>
              </w:rPr>
              <w:lastRenderedPageBreak/>
              <w:t>领域，王孟雅、陈震、潘尔顺（2022）将马尔可夫决策过程与深度强化学习相结合，研究了冷贮备串联系统的状态维修与备件库存联合优化问题，其“马尔可夫决策建模＋深度强化学习求解”的方法论路径与本课题高度一致，为本课题的求解框架设计提供了直接的方法借鉴。</w:t>
            </w:r>
          </w:p>
          <w:p w14:paraId="576CE692" w14:textId="1D490938" w:rsidR="0000439A" w:rsidRDefault="005E0DBD" w:rsidP="00D274D7">
            <w:pPr>
              <w:spacing w:before="120"/>
              <w:ind w:firstLineChars="200" w:firstLine="480"/>
              <w:rPr>
                <w:rFonts w:ascii="黑体" w:eastAsia="黑体" w:hAnsi="黑体"/>
                <w:sz w:val="24"/>
              </w:rPr>
            </w:pPr>
            <w:r>
              <w:rPr>
                <w:rFonts w:ascii="黑体" w:eastAsia="黑体" w:hAnsi="黑体"/>
                <w:sz w:val="24"/>
              </w:rPr>
              <w:t>将时间信息纳入状态是求解有限期与非平稳马尔可夫决策过程的标准做法。</w:t>
            </w:r>
            <w:proofErr w:type="spellStart"/>
            <w:r>
              <w:rPr>
                <w:rFonts w:ascii="黑体" w:eastAsia="黑体" w:hAnsi="黑体"/>
                <w:sz w:val="24"/>
              </w:rPr>
              <w:t>Bertsekas</w:t>
            </w:r>
            <w:proofErr w:type="spellEnd"/>
            <w:r>
              <w:rPr>
                <w:rFonts w:ascii="黑体" w:eastAsia="黑体" w:hAnsi="黑体"/>
                <w:sz w:val="24"/>
              </w:rPr>
              <w:t>（2019）指出，有限视野动态规划或强化学习问题的最优策略本质上是非平稳的，须通过状态扩充以单一网络拟合这类策略；Pardo 等（2018）在实验层面验证了将剩余时间纳入智能体输入的必要性；Mao 等（2024）则从后悔界的角度论证了非平稳环境下引入时间或上下文信息对算法收敛性的重要意义。在库存管理领域，</w:t>
            </w:r>
            <w:proofErr w:type="spellStart"/>
            <w:r>
              <w:rPr>
                <w:rFonts w:ascii="黑体" w:eastAsia="黑体" w:hAnsi="黑体"/>
                <w:sz w:val="24"/>
              </w:rPr>
              <w:t>Dehaybe</w:t>
            </w:r>
            <w:proofErr w:type="spellEnd"/>
            <w:r>
              <w:rPr>
                <w:rFonts w:ascii="黑体" w:eastAsia="黑体" w:hAnsi="黑体"/>
                <w:sz w:val="24"/>
              </w:rPr>
              <w:t xml:space="preserve"> 等（2023）将未来若干期需求分布参数直接嵌入状态向量，在多种非平稳需求场景下验证了该方法的有效性。盛昭瀚、王海燕、胡志华（2022）与石大千、李雪琴、李丹丹（2025）则从复杂系统管理与数字化转型的视角，探讨了供应链韧性与多元化采购网络对企业绩效的影响机制，为双源采购的管理价值提供了更宏观的理论支撑。</w:t>
            </w:r>
          </w:p>
          <w:p w14:paraId="15F3740D" w14:textId="6A7632BE" w:rsidR="00BD125B" w:rsidRPr="00D274D7" w:rsidRDefault="00BD125B" w:rsidP="00D274D7">
            <w:pPr>
              <w:spacing w:before="120"/>
              <w:rPr>
                <w:rFonts w:ascii="黑体" w:eastAsia="黑体" w:hAnsi="黑体"/>
                <w:sz w:val="24"/>
              </w:rPr>
            </w:pPr>
            <w:r>
              <w:rPr>
                <w:rFonts w:ascii="黑体" w:eastAsia="黑体" w:hAnsi="黑体" w:hint="eastAsia"/>
                <w:sz w:val="24"/>
              </w:rPr>
              <w:t>4）文献评述</w:t>
            </w:r>
          </w:p>
          <w:p w14:paraId="07D6577E" w14:textId="43057037" w:rsidR="0000439A" w:rsidRDefault="005E0DBD" w:rsidP="00D274D7">
            <w:pPr>
              <w:spacing w:before="120"/>
              <w:ind w:firstLineChars="200" w:firstLine="480"/>
            </w:pPr>
            <w:r>
              <w:rPr>
                <w:rFonts w:ascii="黑体" w:eastAsia="黑体" w:hAnsi="黑体"/>
                <w:sz w:val="24"/>
              </w:rPr>
              <w:t>综合上述</w:t>
            </w:r>
            <w:r w:rsidR="00BD125B">
              <w:rPr>
                <w:rFonts w:ascii="黑体" w:eastAsia="黑体" w:hAnsi="黑体" w:hint="eastAsia"/>
                <w:sz w:val="24"/>
              </w:rPr>
              <w:t>，</w:t>
            </w:r>
            <w:r>
              <w:rPr>
                <w:rFonts w:ascii="黑体" w:eastAsia="黑体" w:hAnsi="黑体"/>
                <w:sz w:val="24"/>
              </w:rPr>
              <w:t>随机良率库存一支已有针对全有或全无模式的高效启发式与深度强化学习方法，但局限于单源与平稳需求；双源采购一支已充分论证备用供应源的风险缓释价值，但渠道触发规则多为静态；深度强化学习应用一支已确立启发式先验注入的方法论共识，但尚未解决双源耦合场景下先验应如何构造的问题；时间感知一支已从理论上确立时间信息纳入状态的必要性，但其在随机良率库存问题上的价值边界尚未被系统界定。本课题的定位即在这一交叉空位上：在全有或全无良率与非零提前期的基准问题类中，同时引入季节性非平稳需求与零提前期应急渠道，构造融合启发式先验的深度强化学习求解架构，并通过系统性的消融实验检验时间感知机制在该问题类上的实际价值边界，以</w:t>
            </w:r>
            <w:r w:rsidR="00BD125B">
              <w:rPr>
                <w:rFonts w:ascii="黑体" w:eastAsia="黑体" w:hAnsi="黑体" w:hint="eastAsia"/>
                <w:sz w:val="24"/>
              </w:rPr>
              <w:t>拓展</w:t>
            </w:r>
            <w:r>
              <w:rPr>
                <w:rFonts w:ascii="黑体" w:eastAsia="黑体" w:hAnsi="黑体"/>
                <w:sz w:val="24"/>
              </w:rPr>
              <w:t>现有</w:t>
            </w:r>
            <w:r w:rsidR="00BD125B">
              <w:rPr>
                <w:rFonts w:ascii="黑体" w:eastAsia="黑体" w:hAnsi="黑体" w:hint="eastAsia"/>
                <w:sz w:val="24"/>
              </w:rPr>
              <w:t>的研究</w:t>
            </w:r>
            <w:r>
              <w:rPr>
                <w:rFonts w:ascii="黑体" w:eastAsia="黑体" w:hAnsi="黑体"/>
                <w:sz w:val="24"/>
              </w:rPr>
              <w:t>。</w:t>
            </w:r>
          </w:p>
        </w:tc>
      </w:tr>
    </w:tbl>
    <w:p w14:paraId="75638B36" w14:textId="77777777" w:rsidR="001A62CB" w:rsidRDefault="001A62CB">
      <w:pPr>
        <w:rPr>
          <w:rFonts w:eastAsia="黑体"/>
          <w:sz w:val="24"/>
        </w:rPr>
        <w:sectPr w:rsidR="001A62CB" w:rsidSect="001A62CB">
          <w:footerReference w:type="default" r:id="rId8"/>
          <w:footerReference w:type="first" r:id="rId9"/>
          <w:type w:val="continuous"/>
          <w:pgSz w:w="11906" w:h="16838"/>
          <w:pgMar w:top="1418" w:right="1797" w:bottom="1418" w:left="1797" w:header="851" w:footer="992" w:gutter="0"/>
          <w:cols w:space="720"/>
          <w:titlePg/>
          <w:docGrid w:type="lines" w:linePitch="312"/>
        </w:sectPr>
      </w:pPr>
    </w:p>
    <w:p w14:paraId="06E0878A" w14:textId="77777777" w:rsidR="007530AF" w:rsidRDefault="007530AF">
      <w:pPr>
        <w:rPr>
          <w:rFonts w:eastAsia="黑体"/>
          <w:sz w:val="24"/>
        </w:rPr>
      </w:pPr>
      <w:r>
        <w:rPr>
          <w:rFonts w:eastAsia="黑体" w:hint="eastAsia"/>
          <w:sz w:val="24"/>
        </w:rPr>
        <w:lastRenderedPageBreak/>
        <w:t>附：参考文献</w:t>
      </w: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000" w:firstRow="0" w:lastRow="0" w:firstColumn="0" w:lastColumn="0" w:noHBand="0" w:noVBand="0"/>
      </w:tblPr>
      <w:tblGrid>
        <w:gridCol w:w="738"/>
        <w:gridCol w:w="7665"/>
      </w:tblGrid>
      <w:tr w:rsidR="007530AF" w14:paraId="62F0BE3A" w14:textId="77777777">
        <w:trPr>
          <w:cantSplit/>
        </w:trPr>
        <w:tc>
          <w:tcPr>
            <w:tcW w:w="738" w:type="dxa"/>
            <w:vAlign w:val="center"/>
          </w:tcPr>
          <w:p w14:paraId="6EBC626A" w14:textId="77777777" w:rsidR="007530AF" w:rsidRDefault="007530AF">
            <w:pPr>
              <w:jc w:val="center"/>
              <w:rPr>
                <w:rFonts w:eastAsia="黑体"/>
                <w:sz w:val="24"/>
              </w:rPr>
            </w:pPr>
            <w:r>
              <w:rPr>
                <w:rFonts w:eastAsia="黑体" w:hint="eastAsia"/>
                <w:sz w:val="24"/>
              </w:rPr>
              <w:t>序号</w:t>
            </w:r>
          </w:p>
        </w:tc>
        <w:tc>
          <w:tcPr>
            <w:tcW w:w="7665" w:type="dxa"/>
            <w:vAlign w:val="center"/>
          </w:tcPr>
          <w:p w14:paraId="4C187FEE" w14:textId="77777777" w:rsidR="007530AF" w:rsidRDefault="007530AF" w:rsidP="002721A6">
            <w:pPr>
              <w:jc w:val="center"/>
              <w:rPr>
                <w:rFonts w:eastAsia="黑体"/>
                <w:sz w:val="24"/>
              </w:rPr>
            </w:pPr>
            <w:r>
              <w:rPr>
                <w:rFonts w:eastAsia="黑体" w:hint="eastAsia"/>
                <w:sz w:val="24"/>
              </w:rPr>
              <w:t>文献目录</w:t>
            </w:r>
          </w:p>
        </w:tc>
      </w:tr>
      <w:tr w:rsidR="007530AF" w14:paraId="39438627" w14:textId="77777777">
        <w:trPr>
          <w:cantSplit/>
          <w:trHeight w:val="414"/>
        </w:trPr>
        <w:tc>
          <w:tcPr>
            <w:tcW w:w="738" w:type="dxa"/>
          </w:tcPr>
          <w:p w14:paraId="48BE9F12" w14:textId="77777777" w:rsidR="007530AF" w:rsidRDefault="007530AF">
            <w:pPr>
              <w:rPr>
                <w:rFonts w:eastAsia="黑体"/>
                <w:sz w:val="24"/>
              </w:rPr>
            </w:pPr>
            <w:r>
              <w:rPr>
                <w:rFonts w:ascii="黑体" w:eastAsia="黑体" w:hAnsi="黑体"/>
                <w:sz w:val="24"/>
              </w:rPr>
              <w:t>1</w:t>
            </w:r>
          </w:p>
        </w:tc>
        <w:tc>
          <w:tcPr>
            <w:tcW w:w="7665" w:type="dxa"/>
          </w:tcPr>
          <w:p w14:paraId="53E953DF" w14:textId="77777777" w:rsidR="007530AF" w:rsidRDefault="007530AF">
            <w:pPr>
              <w:rPr>
                <w:rFonts w:eastAsia="黑体"/>
                <w:sz w:val="24"/>
              </w:rPr>
            </w:pPr>
            <w:r>
              <w:rPr>
                <w:rFonts w:ascii="黑体" w:eastAsia="黑体" w:hAnsi="黑体"/>
                <w:sz w:val="22"/>
              </w:rPr>
              <w:t>陈崇萍, 陈志祥. 供应商产出随机与供应中断下的双源采购决策[J]. 中国管理科学, 2019, 27(6): 113-122.</w:t>
            </w:r>
          </w:p>
        </w:tc>
      </w:tr>
      <w:tr w:rsidR="007530AF" w14:paraId="43109E07" w14:textId="77777777">
        <w:trPr>
          <w:cantSplit/>
          <w:trHeight w:val="414"/>
        </w:trPr>
        <w:tc>
          <w:tcPr>
            <w:tcW w:w="738" w:type="dxa"/>
          </w:tcPr>
          <w:p w14:paraId="6E7E4E79" w14:textId="77777777" w:rsidR="007530AF" w:rsidRDefault="007530AF">
            <w:pPr>
              <w:rPr>
                <w:rFonts w:eastAsia="黑体"/>
                <w:sz w:val="24"/>
              </w:rPr>
            </w:pPr>
            <w:r>
              <w:rPr>
                <w:rFonts w:ascii="黑体" w:eastAsia="黑体" w:hAnsi="黑体"/>
                <w:sz w:val="24"/>
              </w:rPr>
              <w:t>2</w:t>
            </w:r>
          </w:p>
        </w:tc>
        <w:tc>
          <w:tcPr>
            <w:tcW w:w="7665" w:type="dxa"/>
          </w:tcPr>
          <w:p w14:paraId="7E955CA8" w14:textId="77777777" w:rsidR="007530AF" w:rsidRDefault="007530AF">
            <w:pPr>
              <w:rPr>
                <w:rFonts w:eastAsia="黑体"/>
                <w:sz w:val="24"/>
              </w:rPr>
            </w:pPr>
            <w:r>
              <w:rPr>
                <w:rFonts w:ascii="黑体" w:eastAsia="黑体" w:hAnsi="黑体"/>
                <w:sz w:val="22"/>
              </w:rPr>
              <w:t>钱佳, 骆建文. 产能随机下的零售商最优订购策略[J]. 系统管理学报, 2014, 23(3): 351-358.</w:t>
            </w:r>
          </w:p>
        </w:tc>
      </w:tr>
      <w:tr w:rsidR="007530AF" w14:paraId="7B0590A3" w14:textId="77777777">
        <w:trPr>
          <w:cantSplit/>
          <w:trHeight w:val="414"/>
        </w:trPr>
        <w:tc>
          <w:tcPr>
            <w:tcW w:w="738" w:type="dxa"/>
          </w:tcPr>
          <w:p w14:paraId="6F8B5C44" w14:textId="77777777" w:rsidR="007530AF" w:rsidRDefault="007530AF">
            <w:pPr>
              <w:rPr>
                <w:rFonts w:eastAsia="黑体"/>
                <w:sz w:val="24"/>
              </w:rPr>
            </w:pPr>
            <w:r>
              <w:rPr>
                <w:rFonts w:ascii="黑体" w:eastAsia="黑体" w:hAnsi="黑体"/>
                <w:sz w:val="24"/>
              </w:rPr>
              <w:t>3</w:t>
            </w:r>
          </w:p>
        </w:tc>
        <w:tc>
          <w:tcPr>
            <w:tcW w:w="7665" w:type="dxa"/>
          </w:tcPr>
          <w:p w14:paraId="505F81DB" w14:textId="77777777" w:rsidR="007530AF" w:rsidRDefault="007530AF">
            <w:pPr>
              <w:rPr>
                <w:rFonts w:eastAsia="黑体"/>
                <w:sz w:val="24"/>
              </w:rPr>
            </w:pPr>
            <w:r>
              <w:rPr>
                <w:rFonts w:ascii="黑体" w:eastAsia="黑体" w:hAnsi="黑体"/>
                <w:sz w:val="22"/>
              </w:rPr>
              <w:t>张文杰, 骆建文. 基于双源采购的供应应急管理分析[J]. 上海交通大学学报, 2013, 47(3): 454-458.</w:t>
            </w:r>
          </w:p>
        </w:tc>
      </w:tr>
      <w:tr w:rsidR="007530AF" w14:paraId="2EB50BE6" w14:textId="77777777">
        <w:trPr>
          <w:cantSplit/>
          <w:trHeight w:val="414"/>
        </w:trPr>
        <w:tc>
          <w:tcPr>
            <w:tcW w:w="738" w:type="dxa"/>
          </w:tcPr>
          <w:p w14:paraId="1F8AB481" w14:textId="77777777" w:rsidR="007530AF" w:rsidRDefault="007530AF">
            <w:pPr>
              <w:rPr>
                <w:rFonts w:eastAsia="黑体"/>
                <w:sz w:val="24"/>
              </w:rPr>
            </w:pPr>
            <w:r>
              <w:rPr>
                <w:rFonts w:ascii="黑体" w:eastAsia="黑体" w:hAnsi="黑体"/>
                <w:sz w:val="24"/>
              </w:rPr>
              <w:t>4</w:t>
            </w:r>
          </w:p>
        </w:tc>
        <w:tc>
          <w:tcPr>
            <w:tcW w:w="7665" w:type="dxa"/>
          </w:tcPr>
          <w:p w14:paraId="273B72EF" w14:textId="77777777" w:rsidR="007530AF" w:rsidRDefault="007530AF">
            <w:pPr>
              <w:rPr>
                <w:rFonts w:eastAsia="黑体"/>
                <w:sz w:val="24"/>
              </w:rPr>
            </w:pPr>
            <w:r>
              <w:rPr>
                <w:rFonts w:ascii="黑体" w:eastAsia="黑体" w:hAnsi="黑体"/>
                <w:sz w:val="22"/>
              </w:rPr>
              <w:t>王军进, 许淞俊, 刘家国. 面对不确定性供应中断风险的制造商采购策略研究[J]. 中国管理科学, 2024, 32(12): 269-277.</w:t>
            </w:r>
          </w:p>
        </w:tc>
      </w:tr>
      <w:tr w:rsidR="007530AF" w14:paraId="3618CB33" w14:textId="77777777">
        <w:trPr>
          <w:cantSplit/>
          <w:trHeight w:val="414"/>
        </w:trPr>
        <w:tc>
          <w:tcPr>
            <w:tcW w:w="738" w:type="dxa"/>
          </w:tcPr>
          <w:p w14:paraId="72963E8F" w14:textId="77777777" w:rsidR="007530AF" w:rsidRDefault="007530AF">
            <w:pPr>
              <w:rPr>
                <w:rFonts w:eastAsia="黑体"/>
                <w:sz w:val="24"/>
              </w:rPr>
            </w:pPr>
            <w:r>
              <w:rPr>
                <w:rFonts w:ascii="黑体" w:eastAsia="黑体" w:hAnsi="黑体"/>
                <w:sz w:val="24"/>
              </w:rPr>
              <w:t>5</w:t>
            </w:r>
          </w:p>
        </w:tc>
        <w:tc>
          <w:tcPr>
            <w:tcW w:w="7665" w:type="dxa"/>
          </w:tcPr>
          <w:p w14:paraId="08EAE326" w14:textId="77777777" w:rsidR="007530AF" w:rsidRDefault="007530AF">
            <w:pPr>
              <w:rPr>
                <w:rFonts w:eastAsia="黑体"/>
                <w:sz w:val="24"/>
              </w:rPr>
            </w:pPr>
            <w:r>
              <w:rPr>
                <w:rFonts w:ascii="黑体" w:eastAsia="黑体" w:hAnsi="黑体"/>
                <w:sz w:val="22"/>
              </w:rPr>
              <w:t>祁玉青, 徐清清. 需求数据删失下的分布鲁棒报童定价及库存联合决策[J]. 工业工程, 2025, 28(3): 82-94.</w:t>
            </w:r>
          </w:p>
        </w:tc>
      </w:tr>
      <w:tr w:rsidR="007530AF" w14:paraId="50225ADA" w14:textId="77777777">
        <w:trPr>
          <w:cantSplit/>
          <w:trHeight w:val="414"/>
        </w:trPr>
        <w:tc>
          <w:tcPr>
            <w:tcW w:w="738" w:type="dxa"/>
          </w:tcPr>
          <w:p w14:paraId="70382550" w14:textId="77777777" w:rsidR="007530AF" w:rsidRDefault="007530AF">
            <w:pPr>
              <w:rPr>
                <w:rFonts w:eastAsia="黑体"/>
                <w:sz w:val="24"/>
              </w:rPr>
            </w:pPr>
            <w:r>
              <w:rPr>
                <w:rFonts w:ascii="黑体" w:eastAsia="黑体" w:hAnsi="黑体"/>
                <w:sz w:val="24"/>
              </w:rPr>
              <w:t>6</w:t>
            </w:r>
          </w:p>
        </w:tc>
        <w:tc>
          <w:tcPr>
            <w:tcW w:w="7665" w:type="dxa"/>
          </w:tcPr>
          <w:p w14:paraId="34FC5A56" w14:textId="77777777" w:rsidR="007530AF" w:rsidRDefault="007530AF">
            <w:pPr>
              <w:rPr>
                <w:rFonts w:eastAsia="黑体"/>
                <w:sz w:val="24"/>
              </w:rPr>
            </w:pPr>
            <w:r>
              <w:rPr>
                <w:rFonts w:ascii="黑体" w:eastAsia="黑体" w:hAnsi="黑体"/>
                <w:sz w:val="22"/>
              </w:rPr>
              <w:t>王海燕, 隽志如, Henry Xu. 需求分布规律变化情况下的报童订货策略[J]. 中国管理科学, 2018, 26(4): 22-29.</w:t>
            </w:r>
          </w:p>
        </w:tc>
      </w:tr>
      <w:tr w:rsidR="007530AF" w14:paraId="5D743843" w14:textId="77777777">
        <w:trPr>
          <w:cantSplit/>
          <w:trHeight w:val="414"/>
        </w:trPr>
        <w:tc>
          <w:tcPr>
            <w:tcW w:w="738" w:type="dxa"/>
          </w:tcPr>
          <w:p w14:paraId="51042D38" w14:textId="77777777" w:rsidR="007530AF" w:rsidRDefault="007530AF">
            <w:pPr>
              <w:rPr>
                <w:rFonts w:eastAsia="黑体"/>
                <w:sz w:val="24"/>
              </w:rPr>
            </w:pPr>
            <w:r>
              <w:rPr>
                <w:rFonts w:ascii="黑体" w:eastAsia="黑体" w:hAnsi="黑体"/>
                <w:sz w:val="24"/>
              </w:rPr>
              <w:t>7</w:t>
            </w:r>
          </w:p>
        </w:tc>
        <w:tc>
          <w:tcPr>
            <w:tcW w:w="7665" w:type="dxa"/>
          </w:tcPr>
          <w:p w14:paraId="284796E3" w14:textId="77777777" w:rsidR="007530AF" w:rsidRDefault="007530AF">
            <w:pPr>
              <w:rPr>
                <w:rFonts w:eastAsia="黑体"/>
                <w:sz w:val="24"/>
              </w:rPr>
            </w:pPr>
            <w:r>
              <w:rPr>
                <w:rFonts w:ascii="黑体" w:eastAsia="黑体" w:hAnsi="黑体"/>
                <w:sz w:val="22"/>
              </w:rPr>
              <w:t>刘晓, 李海越, 王成恩, 储诚斌. 供应商选择模型与方法综述[J]. 中国管理科学, 2004(1): 139-148.</w:t>
            </w:r>
          </w:p>
        </w:tc>
      </w:tr>
      <w:tr w:rsidR="007530AF" w14:paraId="1B774798" w14:textId="77777777">
        <w:trPr>
          <w:cantSplit/>
          <w:trHeight w:val="414"/>
        </w:trPr>
        <w:tc>
          <w:tcPr>
            <w:tcW w:w="738" w:type="dxa"/>
          </w:tcPr>
          <w:p w14:paraId="4E9F4C37" w14:textId="77777777" w:rsidR="007530AF" w:rsidRDefault="007530AF">
            <w:pPr>
              <w:rPr>
                <w:rFonts w:eastAsia="黑体"/>
                <w:sz w:val="24"/>
              </w:rPr>
            </w:pPr>
            <w:r>
              <w:rPr>
                <w:rFonts w:ascii="黑体" w:eastAsia="黑体" w:hAnsi="黑体"/>
                <w:sz w:val="24"/>
              </w:rPr>
              <w:t>8</w:t>
            </w:r>
          </w:p>
        </w:tc>
        <w:tc>
          <w:tcPr>
            <w:tcW w:w="7665" w:type="dxa"/>
          </w:tcPr>
          <w:p w14:paraId="503BA6B5" w14:textId="77777777" w:rsidR="007530AF" w:rsidRDefault="007530AF">
            <w:pPr>
              <w:rPr>
                <w:rFonts w:eastAsia="黑体"/>
                <w:sz w:val="24"/>
              </w:rPr>
            </w:pPr>
            <w:r>
              <w:rPr>
                <w:rFonts w:ascii="黑体" w:eastAsia="黑体" w:hAnsi="黑体"/>
                <w:sz w:val="22"/>
              </w:rPr>
              <w:t>张斌, 张欢, 王夏阳. 基于采购商投资的双源采购与供应商定价决策[J]. 中国管理科学, 2021, 29(4): 104-114.</w:t>
            </w:r>
          </w:p>
        </w:tc>
      </w:tr>
      <w:tr w:rsidR="007530AF" w14:paraId="31B86192" w14:textId="77777777">
        <w:trPr>
          <w:cantSplit/>
          <w:trHeight w:val="414"/>
        </w:trPr>
        <w:tc>
          <w:tcPr>
            <w:tcW w:w="738" w:type="dxa"/>
          </w:tcPr>
          <w:p w14:paraId="4A0263E4" w14:textId="77777777" w:rsidR="007530AF" w:rsidRDefault="007530AF">
            <w:pPr>
              <w:rPr>
                <w:rFonts w:eastAsia="黑体"/>
                <w:sz w:val="24"/>
              </w:rPr>
            </w:pPr>
            <w:r>
              <w:rPr>
                <w:rFonts w:ascii="黑体" w:eastAsia="黑体" w:hAnsi="黑体"/>
                <w:sz w:val="24"/>
              </w:rPr>
              <w:t>9</w:t>
            </w:r>
          </w:p>
        </w:tc>
        <w:tc>
          <w:tcPr>
            <w:tcW w:w="7665" w:type="dxa"/>
          </w:tcPr>
          <w:p w14:paraId="58BEFB37" w14:textId="77777777" w:rsidR="007530AF" w:rsidRDefault="007530AF">
            <w:pPr>
              <w:rPr>
                <w:rFonts w:eastAsia="黑体"/>
                <w:sz w:val="24"/>
              </w:rPr>
            </w:pPr>
            <w:r>
              <w:rPr>
                <w:rFonts w:ascii="黑体" w:eastAsia="黑体" w:hAnsi="黑体"/>
                <w:sz w:val="22"/>
              </w:rPr>
              <w:t>董银红, 郑琪, 李龙. 考虑供应风险的多源应急物资采购双层规划模型[J]. 中国管理科学, 2021, 29(11): 170-178.</w:t>
            </w:r>
          </w:p>
        </w:tc>
      </w:tr>
      <w:tr w:rsidR="007530AF" w14:paraId="169C8618" w14:textId="77777777">
        <w:trPr>
          <w:cantSplit/>
          <w:trHeight w:val="414"/>
        </w:trPr>
        <w:tc>
          <w:tcPr>
            <w:tcW w:w="738" w:type="dxa"/>
          </w:tcPr>
          <w:p w14:paraId="0983E9CC" w14:textId="77777777" w:rsidR="007530AF" w:rsidRDefault="007530AF">
            <w:pPr>
              <w:rPr>
                <w:rFonts w:eastAsia="黑体"/>
                <w:sz w:val="24"/>
              </w:rPr>
            </w:pPr>
            <w:r>
              <w:rPr>
                <w:rFonts w:ascii="黑体" w:eastAsia="黑体" w:hAnsi="黑体"/>
                <w:sz w:val="24"/>
              </w:rPr>
              <w:t>10</w:t>
            </w:r>
          </w:p>
        </w:tc>
        <w:tc>
          <w:tcPr>
            <w:tcW w:w="7665" w:type="dxa"/>
          </w:tcPr>
          <w:p w14:paraId="24ACDCBA" w14:textId="77777777" w:rsidR="007530AF" w:rsidRDefault="007530AF">
            <w:pPr>
              <w:rPr>
                <w:rFonts w:eastAsia="黑体"/>
                <w:sz w:val="24"/>
              </w:rPr>
            </w:pPr>
            <w:r>
              <w:rPr>
                <w:rFonts w:ascii="黑体" w:eastAsia="黑体" w:hAnsi="黑体"/>
                <w:sz w:val="22"/>
              </w:rPr>
              <w:t>邵思淇, 钟远光, 陈植, 李延希. 基于需求不确定性的数据驱动库存管理研究综述[J]. 工业工程, 2024, 27(3): 1-11.</w:t>
            </w:r>
          </w:p>
        </w:tc>
      </w:tr>
      <w:tr w:rsidR="007530AF" w14:paraId="076689E6" w14:textId="77777777">
        <w:trPr>
          <w:cantSplit/>
          <w:trHeight w:val="414"/>
        </w:trPr>
        <w:tc>
          <w:tcPr>
            <w:tcW w:w="738" w:type="dxa"/>
          </w:tcPr>
          <w:p w14:paraId="0DD0F4E1" w14:textId="77777777" w:rsidR="007530AF" w:rsidRDefault="007530AF">
            <w:pPr>
              <w:rPr>
                <w:rFonts w:eastAsia="黑体"/>
                <w:sz w:val="24"/>
              </w:rPr>
            </w:pPr>
            <w:r>
              <w:rPr>
                <w:rFonts w:ascii="黑体" w:eastAsia="黑体" w:hAnsi="黑体"/>
                <w:sz w:val="24"/>
              </w:rPr>
              <w:t>11</w:t>
            </w:r>
          </w:p>
        </w:tc>
        <w:tc>
          <w:tcPr>
            <w:tcW w:w="7665" w:type="dxa"/>
          </w:tcPr>
          <w:p w14:paraId="244F0B05" w14:textId="77777777" w:rsidR="007530AF" w:rsidRDefault="007530AF">
            <w:pPr>
              <w:rPr>
                <w:rFonts w:eastAsia="黑体"/>
                <w:sz w:val="24"/>
              </w:rPr>
            </w:pPr>
            <w:r>
              <w:rPr>
                <w:rFonts w:ascii="黑体" w:eastAsia="黑体" w:hAnsi="黑体"/>
                <w:sz w:val="22"/>
              </w:rPr>
              <w:t>盛昭瀚, 王海燕, 胡志华. 供应链韧性：适应复杂性——基于复杂系统管理视角[J]. 中国管理科学, 2022, 30(11): 1-7.</w:t>
            </w:r>
          </w:p>
        </w:tc>
      </w:tr>
      <w:tr w:rsidR="007530AF" w14:paraId="4B2FBEF0" w14:textId="77777777">
        <w:trPr>
          <w:cantSplit/>
          <w:trHeight w:val="414"/>
        </w:trPr>
        <w:tc>
          <w:tcPr>
            <w:tcW w:w="738" w:type="dxa"/>
          </w:tcPr>
          <w:p w14:paraId="03C4F02F" w14:textId="77777777" w:rsidR="007530AF" w:rsidRDefault="007530AF">
            <w:pPr>
              <w:rPr>
                <w:rFonts w:eastAsia="黑体"/>
                <w:sz w:val="24"/>
              </w:rPr>
            </w:pPr>
            <w:r>
              <w:rPr>
                <w:rFonts w:ascii="黑体" w:eastAsia="黑体" w:hAnsi="黑体"/>
                <w:sz w:val="24"/>
              </w:rPr>
              <w:t>12</w:t>
            </w:r>
          </w:p>
        </w:tc>
        <w:tc>
          <w:tcPr>
            <w:tcW w:w="7665" w:type="dxa"/>
          </w:tcPr>
          <w:p w14:paraId="353EF452" w14:textId="77777777" w:rsidR="007530AF" w:rsidRDefault="007530AF">
            <w:pPr>
              <w:rPr>
                <w:rFonts w:eastAsia="黑体"/>
                <w:sz w:val="24"/>
              </w:rPr>
            </w:pPr>
            <w:r>
              <w:rPr>
                <w:rFonts w:ascii="黑体" w:eastAsia="黑体" w:hAnsi="黑体"/>
                <w:sz w:val="22"/>
              </w:rPr>
              <w:t>石大千, 李雪琴, 李丹丹. 智慧供应链建设如何提升企业绩效？——基于供应链韧性优化视角的分析[J]. 中国管理科学, 2025, 33(4): 325-334.</w:t>
            </w:r>
          </w:p>
        </w:tc>
      </w:tr>
      <w:tr w:rsidR="007530AF" w14:paraId="3930923A" w14:textId="77777777">
        <w:trPr>
          <w:cantSplit/>
          <w:trHeight w:val="414"/>
        </w:trPr>
        <w:tc>
          <w:tcPr>
            <w:tcW w:w="738" w:type="dxa"/>
          </w:tcPr>
          <w:p w14:paraId="01BCCC2B" w14:textId="77777777" w:rsidR="007530AF" w:rsidRDefault="007530AF">
            <w:pPr>
              <w:rPr>
                <w:rFonts w:eastAsia="黑体"/>
                <w:sz w:val="24"/>
              </w:rPr>
            </w:pPr>
            <w:r>
              <w:rPr>
                <w:rFonts w:ascii="黑体" w:eastAsia="黑体" w:hAnsi="黑体"/>
                <w:sz w:val="24"/>
              </w:rPr>
              <w:t>13</w:t>
            </w:r>
          </w:p>
        </w:tc>
        <w:tc>
          <w:tcPr>
            <w:tcW w:w="7665" w:type="dxa"/>
          </w:tcPr>
          <w:p w14:paraId="42F12BF8" w14:textId="77777777" w:rsidR="007530AF" w:rsidRDefault="007530AF">
            <w:pPr>
              <w:rPr>
                <w:rFonts w:eastAsia="黑体"/>
                <w:sz w:val="24"/>
              </w:rPr>
            </w:pPr>
            <w:r>
              <w:rPr>
                <w:rFonts w:ascii="黑体" w:eastAsia="黑体" w:hAnsi="黑体"/>
                <w:sz w:val="22"/>
              </w:rPr>
              <w:t>赵梦蝶, 王长军, 周赛玉. 稀缺价格与需求数据驱动的风险规避报童决策[J]. 中国管理科学, 2025, 33(2): 232-241.</w:t>
            </w:r>
          </w:p>
        </w:tc>
      </w:tr>
      <w:tr w:rsidR="007530AF" w14:paraId="515F417C" w14:textId="77777777">
        <w:trPr>
          <w:cantSplit/>
          <w:trHeight w:val="414"/>
        </w:trPr>
        <w:tc>
          <w:tcPr>
            <w:tcW w:w="738" w:type="dxa"/>
          </w:tcPr>
          <w:p w14:paraId="17669057" w14:textId="77777777" w:rsidR="007530AF" w:rsidRDefault="007530AF">
            <w:pPr>
              <w:rPr>
                <w:rFonts w:eastAsia="黑体"/>
                <w:sz w:val="24"/>
              </w:rPr>
            </w:pPr>
            <w:r>
              <w:rPr>
                <w:rFonts w:ascii="黑体" w:eastAsia="黑体" w:hAnsi="黑体"/>
                <w:sz w:val="24"/>
              </w:rPr>
              <w:t>14</w:t>
            </w:r>
          </w:p>
        </w:tc>
        <w:tc>
          <w:tcPr>
            <w:tcW w:w="7665" w:type="dxa"/>
          </w:tcPr>
          <w:p w14:paraId="54BC2834" w14:textId="77777777" w:rsidR="007530AF" w:rsidRDefault="007530AF">
            <w:pPr>
              <w:rPr>
                <w:rFonts w:eastAsia="黑体"/>
                <w:sz w:val="24"/>
              </w:rPr>
            </w:pPr>
            <w:r>
              <w:rPr>
                <w:rFonts w:ascii="黑体" w:eastAsia="黑体" w:hAnsi="黑体"/>
                <w:sz w:val="22"/>
              </w:rPr>
              <w:t>李新军, 王建军, 达庆利. 供应中断情况下基于备份供应商的应急决策分析[J]. 中国管理科学, 2016, 24(7): 63-71.</w:t>
            </w:r>
          </w:p>
        </w:tc>
      </w:tr>
      <w:tr w:rsidR="007530AF" w14:paraId="7BAEFB6A" w14:textId="77777777">
        <w:trPr>
          <w:cantSplit/>
          <w:trHeight w:val="414"/>
        </w:trPr>
        <w:tc>
          <w:tcPr>
            <w:tcW w:w="738" w:type="dxa"/>
          </w:tcPr>
          <w:p w14:paraId="4E600FC8" w14:textId="77777777" w:rsidR="007530AF" w:rsidRDefault="007530AF">
            <w:pPr>
              <w:rPr>
                <w:rFonts w:eastAsia="黑体"/>
                <w:sz w:val="24"/>
              </w:rPr>
            </w:pPr>
            <w:r>
              <w:rPr>
                <w:rFonts w:ascii="黑体" w:eastAsia="黑体" w:hAnsi="黑体"/>
                <w:sz w:val="24"/>
              </w:rPr>
              <w:t>15</w:t>
            </w:r>
          </w:p>
        </w:tc>
        <w:tc>
          <w:tcPr>
            <w:tcW w:w="7665" w:type="dxa"/>
          </w:tcPr>
          <w:p w14:paraId="564A4E69" w14:textId="77777777" w:rsidR="007530AF" w:rsidRDefault="007530AF">
            <w:pPr>
              <w:rPr>
                <w:rFonts w:eastAsia="黑体"/>
                <w:sz w:val="24"/>
              </w:rPr>
            </w:pPr>
            <w:r>
              <w:rPr>
                <w:rFonts w:ascii="黑体" w:eastAsia="黑体" w:hAnsi="黑体"/>
                <w:sz w:val="22"/>
              </w:rPr>
              <w:t>张永, 张卫国, 徐维军. 无统计信息假设下的多阶段报童决策[J]. 中国管理科学, 2015, 23(5): 107-115.</w:t>
            </w:r>
          </w:p>
        </w:tc>
      </w:tr>
      <w:tr w:rsidR="007530AF" w14:paraId="6111414B" w14:textId="77777777">
        <w:trPr>
          <w:cantSplit/>
          <w:trHeight w:val="414"/>
        </w:trPr>
        <w:tc>
          <w:tcPr>
            <w:tcW w:w="738" w:type="dxa"/>
          </w:tcPr>
          <w:p w14:paraId="02F01995" w14:textId="77777777" w:rsidR="007530AF" w:rsidRDefault="007530AF">
            <w:pPr>
              <w:rPr>
                <w:rFonts w:eastAsia="黑体"/>
                <w:sz w:val="24"/>
              </w:rPr>
            </w:pPr>
            <w:r>
              <w:rPr>
                <w:rFonts w:ascii="黑体" w:eastAsia="黑体" w:hAnsi="黑体"/>
                <w:sz w:val="24"/>
              </w:rPr>
              <w:t>16</w:t>
            </w:r>
          </w:p>
        </w:tc>
        <w:tc>
          <w:tcPr>
            <w:tcW w:w="7665" w:type="dxa"/>
          </w:tcPr>
          <w:p w14:paraId="50121736" w14:textId="77777777" w:rsidR="007530AF" w:rsidRDefault="007530AF">
            <w:pPr>
              <w:rPr>
                <w:rFonts w:eastAsia="黑体"/>
                <w:sz w:val="24"/>
              </w:rPr>
            </w:pPr>
            <w:r>
              <w:rPr>
                <w:rFonts w:ascii="黑体" w:eastAsia="黑体" w:hAnsi="黑体"/>
                <w:sz w:val="22"/>
              </w:rPr>
              <w:t>张桂清, 徐寅峰. 概率预期下在线报童问题的最小风险策略[J]. 中国管理科学, 2010, 18(6): 131-136.</w:t>
            </w:r>
          </w:p>
        </w:tc>
      </w:tr>
      <w:tr w:rsidR="007530AF" w14:paraId="12B4702F" w14:textId="77777777">
        <w:trPr>
          <w:cantSplit/>
          <w:trHeight w:val="414"/>
        </w:trPr>
        <w:tc>
          <w:tcPr>
            <w:tcW w:w="738" w:type="dxa"/>
          </w:tcPr>
          <w:p w14:paraId="6E02C072" w14:textId="77777777" w:rsidR="007530AF" w:rsidRDefault="007530AF">
            <w:pPr>
              <w:rPr>
                <w:rFonts w:eastAsia="黑体"/>
                <w:sz w:val="24"/>
              </w:rPr>
            </w:pPr>
            <w:r>
              <w:rPr>
                <w:rFonts w:ascii="黑体" w:eastAsia="黑体" w:hAnsi="黑体"/>
                <w:sz w:val="24"/>
              </w:rPr>
              <w:t>17</w:t>
            </w:r>
          </w:p>
        </w:tc>
        <w:tc>
          <w:tcPr>
            <w:tcW w:w="7665" w:type="dxa"/>
          </w:tcPr>
          <w:p w14:paraId="7A9DCC52" w14:textId="77777777" w:rsidR="007530AF" w:rsidRDefault="007530AF">
            <w:pPr>
              <w:rPr>
                <w:rFonts w:eastAsia="黑体"/>
                <w:sz w:val="24"/>
              </w:rPr>
            </w:pPr>
            <w:r>
              <w:rPr>
                <w:rFonts w:ascii="黑体" w:eastAsia="黑体" w:hAnsi="黑体"/>
                <w:sz w:val="22"/>
              </w:rPr>
              <w:t>余乐安, 王丹萍, 曾能民. 突发事件风险下的供应链重构策略研究[J]. 中国管理科学, 2024, 32(9): 93-100.</w:t>
            </w:r>
          </w:p>
        </w:tc>
      </w:tr>
      <w:tr w:rsidR="007530AF" w14:paraId="4A8CAF07" w14:textId="77777777">
        <w:trPr>
          <w:cantSplit/>
          <w:trHeight w:val="414"/>
        </w:trPr>
        <w:tc>
          <w:tcPr>
            <w:tcW w:w="738" w:type="dxa"/>
          </w:tcPr>
          <w:p w14:paraId="2F40816F" w14:textId="77777777" w:rsidR="007530AF" w:rsidRDefault="007530AF">
            <w:pPr>
              <w:rPr>
                <w:rFonts w:eastAsia="黑体"/>
                <w:sz w:val="24"/>
              </w:rPr>
            </w:pPr>
            <w:r>
              <w:rPr>
                <w:rFonts w:ascii="黑体" w:eastAsia="黑体" w:hAnsi="黑体"/>
                <w:sz w:val="24"/>
              </w:rPr>
              <w:t>18</w:t>
            </w:r>
          </w:p>
        </w:tc>
        <w:tc>
          <w:tcPr>
            <w:tcW w:w="7665" w:type="dxa"/>
          </w:tcPr>
          <w:p w14:paraId="58B2484E" w14:textId="77777777" w:rsidR="007530AF" w:rsidRDefault="007530AF">
            <w:pPr>
              <w:rPr>
                <w:rFonts w:eastAsia="黑体"/>
                <w:sz w:val="24"/>
              </w:rPr>
            </w:pPr>
            <w:r>
              <w:rPr>
                <w:rFonts w:ascii="黑体" w:eastAsia="黑体" w:hAnsi="黑体"/>
                <w:sz w:val="22"/>
              </w:rPr>
              <w:t>孔繁辉, 李健. 供应中断风险下OEM供应链弹性运作与提升策略[J]. 中国管理科学, 2018, 26(2): 152-159.</w:t>
            </w:r>
          </w:p>
        </w:tc>
      </w:tr>
      <w:tr w:rsidR="007530AF" w14:paraId="22B1B5F7" w14:textId="77777777">
        <w:trPr>
          <w:cantSplit/>
          <w:trHeight w:val="414"/>
        </w:trPr>
        <w:tc>
          <w:tcPr>
            <w:tcW w:w="738" w:type="dxa"/>
          </w:tcPr>
          <w:p w14:paraId="12237F74" w14:textId="77777777" w:rsidR="007530AF" w:rsidRDefault="007530AF">
            <w:pPr>
              <w:rPr>
                <w:rFonts w:eastAsia="黑体"/>
                <w:sz w:val="24"/>
              </w:rPr>
            </w:pPr>
            <w:r>
              <w:rPr>
                <w:rFonts w:ascii="黑体" w:eastAsia="黑体" w:hAnsi="黑体"/>
                <w:sz w:val="24"/>
              </w:rPr>
              <w:t>19</w:t>
            </w:r>
          </w:p>
        </w:tc>
        <w:tc>
          <w:tcPr>
            <w:tcW w:w="7665" w:type="dxa"/>
          </w:tcPr>
          <w:p w14:paraId="76DD4BCC" w14:textId="77777777" w:rsidR="007530AF" w:rsidRDefault="007530AF">
            <w:pPr>
              <w:rPr>
                <w:rFonts w:eastAsia="黑体"/>
                <w:sz w:val="24"/>
              </w:rPr>
            </w:pPr>
            <w:r>
              <w:rPr>
                <w:rFonts w:ascii="黑体" w:eastAsia="黑体" w:hAnsi="黑体"/>
                <w:sz w:val="22"/>
              </w:rPr>
              <w:t>陈崇萍, 卓晓坡, 陈杰. 不同付款方式下供应不确定企业的采购源与定价策略研究[J]. 中国管理科学, 2023, 31(8): 162-172.</w:t>
            </w:r>
          </w:p>
        </w:tc>
      </w:tr>
      <w:tr w:rsidR="007530AF" w14:paraId="004E7828" w14:textId="77777777">
        <w:trPr>
          <w:cantSplit/>
          <w:trHeight w:val="414"/>
        </w:trPr>
        <w:tc>
          <w:tcPr>
            <w:tcW w:w="738" w:type="dxa"/>
          </w:tcPr>
          <w:p w14:paraId="169E8AF1" w14:textId="77777777" w:rsidR="007530AF" w:rsidRDefault="007530AF">
            <w:pPr>
              <w:rPr>
                <w:rFonts w:eastAsia="黑体"/>
                <w:sz w:val="24"/>
              </w:rPr>
            </w:pPr>
            <w:r>
              <w:rPr>
                <w:rFonts w:ascii="黑体" w:eastAsia="黑体" w:hAnsi="黑体"/>
                <w:sz w:val="24"/>
              </w:rPr>
              <w:t>20</w:t>
            </w:r>
          </w:p>
        </w:tc>
        <w:tc>
          <w:tcPr>
            <w:tcW w:w="7665" w:type="dxa"/>
          </w:tcPr>
          <w:p w14:paraId="5B44FA98" w14:textId="77777777" w:rsidR="007530AF" w:rsidRDefault="007530AF">
            <w:pPr>
              <w:rPr>
                <w:rFonts w:eastAsia="黑体"/>
                <w:sz w:val="24"/>
              </w:rPr>
            </w:pPr>
            <w:r>
              <w:rPr>
                <w:rFonts w:ascii="黑体" w:eastAsia="黑体" w:hAnsi="黑体"/>
                <w:sz w:val="22"/>
              </w:rPr>
              <w:t>王军进, 张白羽, 刘家国. 供应中断风险下具有质量差异的产品组合定价与采购策略[J]. 系统工程理论与实践, 2024, 44(3): 1068-1082.</w:t>
            </w:r>
          </w:p>
        </w:tc>
      </w:tr>
      <w:tr w:rsidR="007530AF" w14:paraId="0B3B8F12" w14:textId="77777777">
        <w:trPr>
          <w:cantSplit/>
          <w:trHeight w:val="414"/>
        </w:trPr>
        <w:tc>
          <w:tcPr>
            <w:tcW w:w="738" w:type="dxa"/>
          </w:tcPr>
          <w:p w14:paraId="5D644F53" w14:textId="77777777" w:rsidR="007530AF" w:rsidRDefault="007530AF">
            <w:pPr>
              <w:rPr>
                <w:rFonts w:eastAsia="黑体"/>
                <w:sz w:val="24"/>
              </w:rPr>
            </w:pPr>
            <w:r>
              <w:rPr>
                <w:rFonts w:ascii="黑体" w:eastAsia="黑体" w:hAnsi="黑体"/>
                <w:sz w:val="24"/>
              </w:rPr>
              <w:lastRenderedPageBreak/>
              <w:t>21</w:t>
            </w:r>
          </w:p>
        </w:tc>
        <w:tc>
          <w:tcPr>
            <w:tcW w:w="7665" w:type="dxa"/>
          </w:tcPr>
          <w:p w14:paraId="6C441737" w14:textId="77777777" w:rsidR="007530AF" w:rsidRDefault="007530AF">
            <w:pPr>
              <w:rPr>
                <w:rFonts w:eastAsia="黑体"/>
                <w:sz w:val="24"/>
              </w:rPr>
            </w:pPr>
            <w:r>
              <w:rPr>
                <w:rFonts w:ascii="黑体" w:eastAsia="黑体" w:hAnsi="黑体"/>
                <w:sz w:val="22"/>
              </w:rPr>
              <w:t>曹裕, 易超群, 万光羽. 易逝品随机生产库存模型动态定价、服务水平和生产控制策略[J]. 系统工程理论与实践, 2018, 38(7): 1717-1731.</w:t>
            </w:r>
          </w:p>
        </w:tc>
      </w:tr>
      <w:tr w:rsidR="007530AF" w14:paraId="5682A625" w14:textId="77777777">
        <w:trPr>
          <w:cantSplit/>
          <w:trHeight w:val="414"/>
        </w:trPr>
        <w:tc>
          <w:tcPr>
            <w:tcW w:w="738" w:type="dxa"/>
          </w:tcPr>
          <w:p w14:paraId="06EC6335" w14:textId="77777777" w:rsidR="007530AF" w:rsidRDefault="007530AF">
            <w:pPr>
              <w:rPr>
                <w:rFonts w:eastAsia="黑体"/>
                <w:sz w:val="24"/>
              </w:rPr>
            </w:pPr>
            <w:r>
              <w:rPr>
                <w:rFonts w:ascii="黑体" w:eastAsia="黑体" w:hAnsi="黑体"/>
                <w:sz w:val="24"/>
              </w:rPr>
              <w:t>22</w:t>
            </w:r>
          </w:p>
        </w:tc>
        <w:tc>
          <w:tcPr>
            <w:tcW w:w="7665" w:type="dxa"/>
          </w:tcPr>
          <w:p w14:paraId="35A6AE8A" w14:textId="77777777" w:rsidR="007530AF" w:rsidRDefault="007530AF">
            <w:pPr>
              <w:rPr>
                <w:rFonts w:eastAsia="黑体"/>
                <w:sz w:val="24"/>
              </w:rPr>
            </w:pPr>
            <w:r>
              <w:rPr>
                <w:rFonts w:ascii="黑体" w:eastAsia="黑体" w:hAnsi="黑体"/>
                <w:sz w:val="22"/>
              </w:rPr>
              <w:t>赵川, 揭海华, 王珏, 周永圣. 基于反馈控制的牛鞭效应自补偿对多级库存系统的影响[J]. 系统工程理论与实践, 2018, 38(7): 1750-1758.</w:t>
            </w:r>
          </w:p>
        </w:tc>
      </w:tr>
      <w:tr w:rsidR="007530AF" w14:paraId="5294D90F" w14:textId="77777777">
        <w:trPr>
          <w:cantSplit/>
          <w:trHeight w:val="414"/>
        </w:trPr>
        <w:tc>
          <w:tcPr>
            <w:tcW w:w="738" w:type="dxa"/>
          </w:tcPr>
          <w:p w14:paraId="6D2CB441" w14:textId="77777777" w:rsidR="007530AF" w:rsidRDefault="007530AF">
            <w:pPr>
              <w:rPr>
                <w:rFonts w:eastAsia="黑体"/>
                <w:sz w:val="24"/>
              </w:rPr>
            </w:pPr>
            <w:r>
              <w:rPr>
                <w:rFonts w:ascii="黑体" w:eastAsia="黑体" w:hAnsi="黑体"/>
                <w:sz w:val="24"/>
              </w:rPr>
              <w:t>23</w:t>
            </w:r>
          </w:p>
        </w:tc>
        <w:tc>
          <w:tcPr>
            <w:tcW w:w="7665" w:type="dxa"/>
          </w:tcPr>
          <w:p w14:paraId="670C0125" w14:textId="77777777" w:rsidR="007530AF" w:rsidRDefault="007530AF">
            <w:pPr>
              <w:rPr>
                <w:rFonts w:eastAsia="黑体"/>
                <w:sz w:val="24"/>
              </w:rPr>
            </w:pPr>
            <w:r>
              <w:rPr>
                <w:rFonts w:ascii="黑体" w:eastAsia="黑体" w:hAnsi="黑体"/>
                <w:sz w:val="22"/>
              </w:rPr>
              <w:t>马潇宇, 黄明珠, 杨朦晰. 供应链韧性影响因素研究：基于SEM与</w:t>
            </w:r>
            <w:proofErr w:type="spellStart"/>
            <w:r>
              <w:rPr>
                <w:rFonts w:ascii="黑体" w:eastAsia="黑体" w:hAnsi="黑体"/>
                <w:sz w:val="22"/>
              </w:rPr>
              <w:t>fsQCA</w:t>
            </w:r>
            <w:proofErr w:type="spellEnd"/>
            <w:r>
              <w:rPr>
                <w:rFonts w:ascii="黑体" w:eastAsia="黑体" w:hAnsi="黑体"/>
                <w:sz w:val="22"/>
              </w:rPr>
              <w:t>方法[J]. 系统工程理论与实践, 2023, 43(9): 2484-2501.</w:t>
            </w:r>
          </w:p>
        </w:tc>
      </w:tr>
      <w:tr w:rsidR="007530AF" w14:paraId="16D484A6" w14:textId="77777777">
        <w:trPr>
          <w:cantSplit/>
          <w:trHeight w:val="414"/>
        </w:trPr>
        <w:tc>
          <w:tcPr>
            <w:tcW w:w="738" w:type="dxa"/>
          </w:tcPr>
          <w:p w14:paraId="3357EE84" w14:textId="77777777" w:rsidR="007530AF" w:rsidRDefault="007530AF">
            <w:pPr>
              <w:rPr>
                <w:rFonts w:eastAsia="黑体"/>
                <w:sz w:val="24"/>
              </w:rPr>
            </w:pPr>
            <w:r>
              <w:rPr>
                <w:rFonts w:ascii="黑体" w:eastAsia="黑体" w:hAnsi="黑体"/>
                <w:sz w:val="24"/>
              </w:rPr>
              <w:t>24</w:t>
            </w:r>
          </w:p>
        </w:tc>
        <w:tc>
          <w:tcPr>
            <w:tcW w:w="7665" w:type="dxa"/>
          </w:tcPr>
          <w:p w14:paraId="4F65FE2B" w14:textId="77777777" w:rsidR="007530AF" w:rsidRDefault="007530AF">
            <w:pPr>
              <w:rPr>
                <w:rFonts w:eastAsia="黑体"/>
                <w:sz w:val="24"/>
              </w:rPr>
            </w:pPr>
            <w:r>
              <w:rPr>
                <w:rFonts w:ascii="黑体" w:eastAsia="黑体" w:hAnsi="黑体"/>
                <w:sz w:val="22"/>
              </w:rPr>
              <w:t>袁业虎, 吴端端. 企业数字化转型与供应链韧性——基于供应链溢出的视角[J]. 系统工程理论与实践, 2025, 45(7): 2309-2326.</w:t>
            </w:r>
          </w:p>
        </w:tc>
      </w:tr>
      <w:tr w:rsidR="007530AF" w14:paraId="1240B03C" w14:textId="77777777">
        <w:trPr>
          <w:cantSplit/>
          <w:trHeight w:val="414"/>
        </w:trPr>
        <w:tc>
          <w:tcPr>
            <w:tcW w:w="738" w:type="dxa"/>
          </w:tcPr>
          <w:p w14:paraId="71F1A3A7" w14:textId="77777777" w:rsidR="007530AF" w:rsidRDefault="007530AF">
            <w:pPr>
              <w:rPr>
                <w:rFonts w:eastAsia="黑体"/>
                <w:sz w:val="24"/>
              </w:rPr>
            </w:pPr>
            <w:r>
              <w:rPr>
                <w:rFonts w:ascii="黑体" w:eastAsia="黑体" w:hAnsi="黑体"/>
                <w:sz w:val="24"/>
              </w:rPr>
              <w:t>25</w:t>
            </w:r>
          </w:p>
        </w:tc>
        <w:tc>
          <w:tcPr>
            <w:tcW w:w="7665" w:type="dxa"/>
          </w:tcPr>
          <w:p w14:paraId="5E202538" w14:textId="77777777" w:rsidR="007530AF" w:rsidRDefault="007530AF">
            <w:pPr>
              <w:rPr>
                <w:rFonts w:eastAsia="黑体"/>
                <w:sz w:val="24"/>
              </w:rPr>
            </w:pPr>
            <w:r>
              <w:rPr>
                <w:rFonts w:ascii="黑体" w:eastAsia="黑体" w:hAnsi="黑体"/>
                <w:sz w:val="22"/>
              </w:rPr>
              <w:t>石雪飞, 王海燕. 库存容量有限的产品选择及联合采购决策研究[J]. 系统工程学报, 2021, 36(2): 264-278.</w:t>
            </w:r>
          </w:p>
        </w:tc>
      </w:tr>
      <w:tr w:rsidR="007530AF" w14:paraId="0036C25C" w14:textId="77777777">
        <w:trPr>
          <w:cantSplit/>
          <w:trHeight w:val="414"/>
        </w:trPr>
        <w:tc>
          <w:tcPr>
            <w:tcW w:w="738" w:type="dxa"/>
          </w:tcPr>
          <w:p w14:paraId="56B5ADEF" w14:textId="77777777" w:rsidR="007530AF" w:rsidRDefault="007530AF">
            <w:pPr>
              <w:rPr>
                <w:rFonts w:eastAsia="黑体"/>
                <w:sz w:val="24"/>
              </w:rPr>
            </w:pPr>
            <w:r>
              <w:rPr>
                <w:rFonts w:ascii="黑体" w:eastAsia="黑体" w:hAnsi="黑体"/>
                <w:sz w:val="24"/>
              </w:rPr>
              <w:t>26</w:t>
            </w:r>
          </w:p>
        </w:tc>
        <w:tc>
          <w:tcPr>
            <w:tcW w:w="7665" w:type="dxa"/>
          </w:tcPr>
          <w:p w14:paraId="12DE9640" w14:textId="77777777" w:rsidR="007530AF" w:rsidRDefault="007530AF">
            <w:pPr>
              <w:rPr>
                <w:rFonts w:eastAsia="黑体"/>
                <w:sz w:val="24"/>
              </w:rPr>
            </w:pPr>
            <w:r>
              <w:rPr>
                <w:rFonts w:ascii="黑体" w:eastAsia="黑体" w:hAnsi="黑体"/>
                <w:sz w:val="22"/>
              </w:rPr>
              <w:t>吴军建, 王海燕. 供应商采取成本减少努力时垂直需求信息共享[J]. 系统工程学报, 2019, 34(4): 536-554.</w:t>
            </w:r>
          </w:p>
        </w:tc>
      </w:tr>
      <w:tr w:rsidR="007530AF" w14:paraId="3507E463" w14:textId="77777777">
        <w:trPr>
          <w:cantSplit/>
          <w:trHeight w:val="414"/>
        </w:trPr>
        <w:tc>
          <w:tcPr>
            <w:tcW w:w="738" w:type="dxa"/>
          </w:tcPr>
          <w:p w14:paraId="4FCB043C" w14:textId="77777777" w:rsidR="007530AF" w:rsidRDefault="007530AF">
            <w:pPr>
              <w:rPr>
                <w:rFonts w:eastAsia="黑体"/>
                <w:sz w:val="24"/>
              </w:rPr>
            </w:pPr>
            <w:r>
              <w:rPr>
                <w:rFonts w:ascii="黑体" w:eastAsia="黑体" w:hAnsi="黑体"/>
                <w:sz w:val="24"/>
              </w:rPr>
              <w:t>27</w:t>
            </w:r>
          </w:p>
        </w:tc>
        <w:tc>
          <w:tcPr>
            <w:tcW w:w="7665" w:type="dxa"/>
          </w:tcPr>
          <w:p w14:paraId="3A6E5035" w14:textId="77777777" w:rsidR="007530AF" w:rsidRDefault="007530AF">
            <w:pPr>
              <w:rPr>
                <w:rFonts w:eastAsia="黑体"/>
                <w:sz w:val="24"/>
              </w:rPr>
            </w:pPr>
            <w:r>
              <w:rPr>
                <w:rFonts w:ascii="黑体" w:eastAsia="黑体" w:hAnsi="黑体"/>
                <w:sz w:val="22"/>
              </w:rPr>
              <w:t>隽志如, 王海燕. 基于需求分布突变检测的两阶段库存管理方法[J]. 系统工程学报, 2013, 28(5): 651-659.</w:t>
            </w:r>
          </w:p>
        </w:tc>
      </w:tr>
      <w:tr w:rsidR="007530AF" w14:paraId="503E1C36" w14:textId="77777777">
        <w:trPr>
          <w:cantSplit/>
          <w:trHeight w:val="414"/>
        </w:trPr>
        <w:tc>
          <w:tcPr>
            <w:tcW w:w="738" w:type="dxa"/>
          </w:tcPr>
          <w:p w14:paraId="0AD1695C" w14:textId="77777777" w:rsidR="007530AF" w:rsidRDefault="007530AF">
            <w:pPr>
              <w:rPr>
                <w:rFonts w:eastAsia="黑体"/>
                <w:sz w:val="24"/>
              </w:rPr>
            </w:pPr>
            <w:r>
              <w:rPr>
                <w:rFonts w:ascii="黑体" w:eastAsia="黑体" w:hAnsi="黑体"/>
                <w:sz w:val="24"/>
              </w:rPr>
              <w:t>28</w:t>
            </w:r>
          </w:p>
        </w:tc>
        <w:tc>
          <w:tcPr>
            <w:tcW w:w="7665" w:type="dxa"/>
          </w:tcPr>
          <w:p w14:paraId="1EC3952A" w14:textId="77777777" w:rsidR="007530AF" w:rsidRDefault="007530AF">
            <w:pPr>
              <w:rPr>
                <w:rFonts w:eastAsia="黑体"/>
                <w:sz w:val="24"/>
              </w:rPr>
            </w:pPr>
            <w:r>
              <w:rPr>
                <w:rFonts w:ascii="黑体" w:eastAsia="黑体" w:hAnsi="黑体"/>
                <w:sz w:val="22"/>
              </w:rPr>
              <w:t>孟志青, 郑敏超. 零售价波动销售策略下的报童模型研究[J]. 系统工程理论与实践, 2020, 40(10): 2648-2657.</w:t>
            </w:r>
          </w:p>
        </w:tc>
      </w:tr>
      <w:tr w:rsidR="007530AF" w14:paraId="4D2000BE" w14:textId="77777777">
        <w:trPr>
          <w:cantSplit/>
          <w:trHeight w:val="414"/>
        </w:trPr>
        <w:tc>
          <w:tcPr>
            <w:tcW w:w="738" w:type="dxa"/>
          </w:tcPr>
          <w:p w14:paraId="79CD270B" w14:textId="77777777" w:rsidR="007530AF" w:rsidRDefault="007530AF">
            <w:pPr>
              <w:rPr>
                <w:rFonts w:eastAsia="黑体"/>
                <w:sz w:val="24"/>
              </w:rPr>
            </w:pPr>
            <w:r>
              <w:rPr>
                <w:rFonts w:ascii="黑体" w:eastAsia="黑体" w:hAnsi="黑体"/>
                <w:sz w:val="24"/>
              </w:rPr>
              <w:t>29</w:t>
            </w:r>
          </w:p>
        </w:tc>
        <w:tc>
          <w:tcPr>
            <w:tcW w:w="7665" w:type="dxa"/>
          </w:tcPr>
          <w:p w14:paraId="4E5FD29F" w14:textId="77777777" w:rsidR="007530AF" w:rsidRDefault="007530AF">
            <w:pPr>
              <w:rPr>
                <w:rFonts w:eastAsia="黑体"/>
                <w:sz w:val="24"/>
              </w:rPr>
            </w:pPr>
            <w:r>
              <w:rPr>
                <w:rFonts w:ascii="黑体" w:eastAsia="黑体" w:hAnsi="黑体"/>
                <w:sz w:val="22"/>
              </w:rPr>
              <w:t>陈金晓, 陈剑. 从优化到重塑——大变局中的供应链高质量发展[J]. 系统工程理论与实践, 2022, 42(3): 545-558.</w:t>
            </w:r>
          </w:p>
        </w:tc>
      </w:tr>
      <w:tr w:rsidR="0000439A" w14:paraId="2F899A59" w14:textId="77777777">
        <w:tc>
          <w:tcPr>
            <w:tcW w:w="738" w:type="dxa"/>
          </w:tcPr>
          <w:p w14:paraId="5FC950D6" w14:textId="77777777" w:rsidR="0000439A" w:rsidRDefault="005E0DBD">
            <w:r>
              <w:rPr>
                <w:rFonts w:ascii="黑体" w:eastAsia="黑体" w:hAnsi="黑体"/>
                <w:sz w:val="24"/>
              </w:rPr>
              <w:t>30</w:t>
            </w:r>
          </w:p>
        </w:tc>
        <w:tc>
          <w:tcPr>
            <w:tcW w:w="7665" w:type="dxa"/>
          </w:tcPr>
          <w:p w14:paraId="492F1D73" w14:textId="151A2D3D" w:rsidR="0000439A" w:rsidRDefault="005E0DBD">
            <w:r>
              <w:rPr>
                <w:rFonts w:ascii="黑体" w:eastAsia="黑体" w:hAnsi="黑体"/>
                <w:sz w:val="22"/>
              </w:rPr>
              <w:t xml:space="preserve">张菊亮, 章祥荪, 王耀球. 一般需求函数下报童模型的定价与库存控制[J]. 系统工程理论与实践, 2008, </w:t>
            </w:r>
            <w:r w:rsidR="00031823">
              <w:rPr>
                <w:rFonts w:ascii="黑体" w:eastAsia="黑体" w:hAnsi="黑体"/>
                <w:sz w:val="22"/>
              </w:rPr>
              <w:t>28</w:t>
            </w:r>
            <w:r>
              <w:rPr>
                <w:rFonts w:ascii="黑体" w:eastAsia="黑体" w:hAnsi="黑体"/>
                <w:sz w:val="22"/>
              </w:rPr>
              <w:t>(9): 20-28.</w:t>
            </w:r>
          </w:p>
        </w:tc>
      </w:tr>
      <w:tr w:rsidR="0000439A" w14:paraId="3004E921" w14:textId="77777777">
        <w:tc>
          <w:tcPr>
            <w:tcW w:w="738" w:type="dxa"/>
          </w:tcPr>
          <w:p w14:paraId="4CF30C71" w14:textId="77777777" w:rsidR="0000439A" w:rsidRDefault="005E0DBD">
            <w:r>
              <w:rPr>
                <w:rFonts w:ascii="黑体" w:eastAsia="黑体" w:hAnsi="黑体"/>
                <w:sz w:val="24"/>
              </w:rPr>
              <w:t>31</w:t>
            </w:r>
          </w:p>
        </w:tc>
        <w:tc>
          <w:tcPr>
            <w:tcW w:w="7665" w:type="dxa"/>
          </w:tcPr>
          <w:p w14:paraId="2331292A" w14:textId="77777777" w:rsidR="0000439A" w:rsidRDefault="005E0DBD">
            <w:r>
              <w:rPr>
                <w:rFonts w:ascii="黑体" w:eastAsia="黑体" w:hAnsi="黑体"/>
                <w:sz w:val="22"/>
              </w:rPr>
              <w:t>杨建奎, 周清, 杨磊. 报童模型的利润与亏损风险平衡分析[J]. 系统工程理论与实践, 2009, 29(3): 100-105.</w:t>
            </w:r>
          </w:p>
        </w:tc>
      </w:tr>
      <w:tr w:rsidR="0000439A" w14:paraId="099B1CE0" w14:textId="77777777">
        <w:tc>
          <w:tcPr>
            <w:tcW w:w="738" w:type="dxa"/>
          </w:tcPr>
          <w:p w14:paraId="47706BA8" w14:textId="77777777" w:rsidR="0000439A" w:rsidRDefault="005E0DBD">
            <w:r>
              <w:rPr>
                <w:rFonts w:ascii="黑体" w:eastAsia="黑体" w:hAnsi="黑体"/>
                <w:sz w:val="24"/>
              </w:rPr>
              <w:t>32</w:t>
            </w:r>
          </w:p>
        </w:tc>
        <w:tc>
          <w:tcPr>
            <w:tcW w:w="7665" w:type="dxa"/>
          </w:tcPr>
          <w:p w14:paraId="3EDEEF9D" w14:textId="77777777" w:rsidR="0000439A" w:rsidRDefault="005E0DBD">
            <w:r>
              <w:rPr>
                <w:rFonts w:ascii="黑体" w:eastAsia="黑体" w:hAnsi="黑体"/>
                <w:sz w:val="22"/>
              </w:rPr>
              <w:t>王孟雅, 陈震, 潘尔顺. 基于马尔科夫决策的冷贮备串联系统状态维修与备件联合优化[J]. 工业工程与管理, 2022: 1-16.</w:t>
            </w:r>
          </w:p>
        </w:tc>
      </w:tr>
      <w:tr w:rsidR="0000439A" w14:paraId="13D810BB" w14:textId="77777777">
        <w:tc>
          <w:tcPr>
            <w:tcW w:w="738" w:type="dxa"/>
          </w:tcPr>
          <w:p w14:paraId="1EAF71C1" w14:textId="77777777" w:rsidR="0000439A" w:rsidRDefault="005E0DBD">
            <w:r>
              <w:rPr>
                <w:rFonts w:ascii="黑体" w:eastAsia="黑体" w:hAnsi="黑体"/>
                <w:sz w:val="24"/>
              </w:rPr>
              <w:t>33</w:t>
            </w:r>
          </w:p>
        </w:tc>
        <w:tc>
          <w:tcPr>
            <w:tcW w:w="7665" w:type="dxa"/>
          </w:tcPr>
          <w:p w14:paraId="4BABAB51" w14:textId="77777777" w:rsidR="0000439A" w:rsidRDefault="005E0DBD">
            <w:r>
              <w:rPr>
                <w:rFonts w:ascii="黑体" w:eastAsia="黑体" w:hAnsi="黑体"/>
                <w:sz w:val="22"/>
              </w:rPr>
              <w:t>李刚, 马卫民, 杨瑞臣. 需求可延期满足的报童模型研究[J]. 运筹与管理, 2017, 26(8): 19-26.</w:t>
            </w:r>
          </w:p>
        </w:tc>
      </w:tr>
      <w:tr w:rsidR="0000439A" w14:paraId="0F9EA9B5" w14:textId="77777777">
        <w:tc>
          <w:tcPr>
            <w:tcW w:w="738" w:type="dxa"/>
          </w:tcPr>
          <w:p w14:paraId="6306824A" w14:textId="77777777" w:rsidR="0000439A" w:rsidRDefault="005E0DBD">
            <w:r>
              <w:rPr>
                <w:rFonts w:ascii="黑体" w:eastAsia="黑体" w:hAnsi="黑体"/>
                <w:sz w:val="24"/>
              </w:rPr>
              <w:t>34</w:t>
            </w:r>
          </w:p>
        </w:tc>
        <w:tc>
          <w:tcPr>
            <w:tcW w:w="7665" w:type="dxa"/>
          </w:tcPr>
          <w:p w14:paraId="0BC13F1B" w14:textId="77777777" w:rsidR="0000439A" w:rsidRDefault="005E0DBD">
            <w:r>
              <w:rPr>
                <w:rFonts w:ascii="黑体" w:eastAsia="黑体" w:hAnsi="黑体"/>
                <w:sz w:val="22"/>
              </w:rPr>
              <w:t xml:space="preserve">Yan Y, Chen F Y, Fu Z, Bi W. Heuristics and deep reinforcement learning for the inventory problem with an all-or-nothing yield pattern and non-zero </w:t>
            </w:r>
            <w:proofErr w:type="spellStart"/>
            <w:r>
              <w:rPr>
                <w:rFonts w:ascii="黑体" w:eastAsia="黑体" w:hAnsi="黑体"/>
                <w:sz w:val="22"/>
              </w:rPr>
              <w:t>leadtimes</w:t>
            </w:r>
            <w:proofErr w:type="spellEnd"/>
            <w:r>
              <w:rPr>
                <w:rFonts w:ascii="黑体" w:eastAsia="黑体" w:hAnsi="黑体"/>
                <w:sz w:val="22"/>
              </w:rPr>
              <w:t>[J]. Computers &amp; Operations Research, 2026, 186: 107305.</w:t>
            </w:r>
          </w:p>
        </w:tc>
      </w:tr>
      <w:tr w:rsidR="0000439A" w14:paraId="07BD731B" w14:textId="77777777">
        <w:tc>
          <w:tcPr>
            <w:tcW w:w="738" w:type="dxa"/>
          </w:tcPr>
          <w:p w14:paraId="54E12F63" w14:textId="77777777" w:rsidR="0000439A" w:rsidRDefault="005E0DBD">
            <w:r>
              <w:rPr>
                <w:rFonts w:ascii="黑体" w:eastAsia="黑体" w:hAnsi="黑体"/>
                <w:sz w:val="24"/>
              </w:rPr>
              <w:t>35</w:t>
            </w:r>
          </w:p>
        </w:tc>
        <w:tc>
          <w:tcPr>
            <w:tcW w:w="7665" w:type="dxa"/>
          </w:tcPr>
          <w:p w14:paraId="5DE3D05D" w14:textId="77777777" w:rsidR="0000439A" w:rsidRDefault="005E0DBD">
            <w:r>
              <w:rPr>
                <w:rFonts w:ascii="黑体" w:eastAsia="黑体" w:hAnsi="黑体"/>
                <w:sz w:val="22"/>
              </w:rPr>
              <w:t>Chen F Y, Hu F, Yano C A, Yuan Q. Heuristics and bounds for an inventory system with an all-or-nothing yield pattern and lead-times[C]. 2018 IEEE SOLI, Singapore, 2018: 180-184.</w:t>
            </w:r>
          </w:p>
        </w:tc>
      </w:tr>
      <w:tr w:rsidR="0000439A" w14:paraId="2B1F80AB" w14:textId="77777777">
        <w:tc>
          <w:tcPr>
            <w:tcW w:w="738" w:type="dxa"/>
          </w:tcPr>
          <w:p w14:paraId="09F574D4" w14:textId="77777777" w:rsidR="0000439A" w:rsidRDefault="005E0DBD">
            <w:r>
              <w:rPr>
                <w:rFonts w:ascii="黑体" w:eastAsia="黑体" w:hAnsi="黑体"/>
                <w:sz w:val="24"/>
              </w:rPr>
              <w:t>36</w:t>
            </w:r>
          </w:p>
        </w:tc>
        <w:tc>
          <w:tcPr>
            <w:tcW w:w="7665" w:type="dxa"/>
          </w:tcPr>
          <w:p w14:paraId="288FAE53" w14:textId="77777777" w:rsidR="0000439A" w:rsidRDefault="005E0DBD">
            <w:r>
              <w:rPr>
                <w:rFonts w:ascii="黑体" w:eastAsia="黑体" w:hAnsi="黑体"/>
                <w:sz w:val="22"/>
              </w:rPr>
              <w:t>Henig M, Gerchak Y. The structure of periodic review policies in the presence of random yield[J]. Operations Research, 1990, 38(4): 634-643.</w:t>
            </w:r>
          </w:p>
        </w:tc>
      </w:tr>
      <w:tr w:rsidR="0000439A" w14:paraId="4DD1FD63" w14:textId="77777777">
        <w:tc>
          <w:tcPr>
            <w:tcW w:w="738" w:type="dxa"/>
          </w:tcPr>
          <w:p w14:paraId="7297E3C7" w14:textId="77777777" w:rsidR="0000439A" w:rsidRDefault="005E0DBD">
            <w:r>
              <w:rPr>
                <w:rFonts w:ascii="黑体" w:eastAsia="黑体" w:hAnsi="黑体"/>
                <w:sz w:val="24"/>
              </w:rPr>
              <w:t>37</w:t>
            </w:r>
          </w:p>
        </w:tc>
        <w:tc>
          <w:tcPr>
            <w:tcW w:w="7665" w:type="dxa"/>
          </w:tcPr>
          <w:p w14:paraId="480A4A52" w14:textId="77777777" w:rsidR="0000439A" w:rsidRDefault="005E0DBD">
            <w:proofErr w:type="spellStart"/>
            <w:r>
              <w:rPr>
                <w:rFonts w:ascii="黑体" w:eastAsia="黑体" w:hAnsi="黑体"/>
                <w:sz w:val="22"/>
              </w:rPr>
              <w:t>Bollapragada</w:t>
            </w:r>
            <w:proofErr w:type="spellEnd"/>
            <w:r>
              <w:rPr>
                <w:rFonts w:ascii="黑体" w:eastAsia="黑体" w:hAnsi="黑体"/>
                <w:sz w:val="22"/>
              </w:rPr>
              <w:t xml:space="preserve"> S, Morton T E. Myopic heuristics for the random yield problem[J]. Operations Research, 1999, 47(5): 713-722.</w:t>
            </w:r>
          </w:p>
        </w:tc>
      </w:tr>
      <w:tr w:rsidR="0000439A" w14:paraId="3495A971" w14:textId="77777777">
        <w:tc>
          <w:tcPr>
            <w:tcW w:w="738" w:type="dxa"/>
          </w:tcPr>
          <w:p w14:paraId="0BF29164" w14:textId="77777777" w:rsidR="0000439A" w:rsidRDefault="005E0DBD">
            <w:r>
              <w:rPr>
                <w:rFonts w:ascii="黑体" w:eastAsia="黑体" w:hAnsi="黑体"/>
                <w:sz w:val="24"/>
              </w:rPr>
              <w:t>38</w:t>
            </w:r>
          </w:p>
        </w:tc>
        <w:tc>
          <w:tcPr>
            <w:tcW w:w="7665" w:type="dxa"/>
          </w:tcPr>
          <w:p w14:paraId="73C0554F" w14:textId="77777777" w:rsidR="0000439A" w:rsidRDefault="005E0DBD">
            <w:r>
              <w:rPr>
                <w:rFonts w:ascii="黑体" w:eastAsia="黑体" w:hAnsi="黑体"/>
                <w:sz w:val="22"/>
              </w:rPr>
              <w:t>Li Q, Xu H, Zheng S. Periodic-review inventory systems with random yield and demand: Bounds and heuristics[J]. IIE Transactions, 2008, 40(4): 434-444.</w:t>
            </w:r>
          </w:p>
        </w:tc>
      </w:tr>
      <w:tr w:rsidR="0000439A" w14:paraId="3FA2D3FA" w14:textId="77777777">
        <w:tc>
          <w:tcPr>
            <w:tcW w:w="738" w:type="dxa"/>
          </w:tcPr>
          <w:p w14:paraId="6C92238C" w14:textId="77777777" w:rsidR="0000439A" w:rsidRDefault="005E0DBD">
            <w:r>
              <w:rPr>
                <w:rFonts w:ascii="黑体" w:eastAsia="黑体" w:hAnsi="黑体"/>
                <w:sz w:val="24"/>
              </w:rPr>
              <w:t>39</w:t>
            </w:r>
          </w:p>
        </w:tc>
        <w:tc>
          <w:tcPr>
            <w:tcW w:w="7665" w:type="dxa"/>
          </w:tcPr>
          <w:p w14:paraId="3D6AA759" w14:textId="77777777" w:rsidR="0000439A" w:rsidRDefault="005E0DBD">
            <w:r>
              <w:rPr>
                <w:rFonts w:ascii="黑体" w:eastAsia="黑体" w:hAnsi="黑体"/>
                <w:sz w:val="22"/>
              </w:rPr>
              <w:t>Huh W T, Nagarajan M. Linear inflation rules for the random yield problem: Analysis and computations[J]. Operations Research, 2010, 58(1): 244-251.</w:t>
            </w:r>
          </w:p>
        </w:tc>
      </w:tr>
      <w:tr w:rsidR="0000439A" w14:paraId="483BCFFE" w14:textId="77777777">
        <w:tc>
          <w:tcPr>
            <w:tcW w:w="738" w:type="dxa"/>
          </w:tcPr>
          <w:p w14:paraId="64AB0512" w14:textId="77777777" w:rsidR="0000439A" w:rsidRDefault="005E0DBD">
            <w:r>
              <w:rPr>
                <w:rFonts w:ascii="黑体" w:eastAsia="黑体" w:hAnsi="黑体"/>
                <w:sz w:val="24"/>
              </w:rPr>
              <w:lastRenderedPageBreak/>
              <w:t>40</w:t>
            </w:r>
          </w:p>
        </w:tc>
        <w:tc>
          <w:tcPr>
            <w:tcW w:w="7665" w:type="dxa"/>
          </w:tcPr>
          <w:p w14:paraId="0FEE68EC" w14:textId="77777777" w:rsidR="0000439A" w:rsidRDefault="005E0DBD">
            <w:proofErr w:type="spellStart"/>
            <w:r>
              <w:rPr>
                <w:rFonts w:ascii="黑体" w:eastAsia="黑体" w:hAnsi="黑体"/>
                <w:sz w:val="22"/>
              </w:rPr>
              <w:t>Inderfurth</w:t>
            </w:r>
            <w:proofErr w:type="spellEnd"/>
            <w:r>
              <w:rPr>
                <w:rFonts w:ascii="黑体" w:eastAsia="黑体" w:hAnsi="黑体"/>
                <w:sz w:val="22"/>
              </w:rPr>
              <w:t xml:space="preserve"> K. How to protect against demand and yield risks in MRP systems[J]. International Journal of Production Economics, 2009, 121(2): 474-481.</w:t>
            </w:r>
          </w:p>
        </w:tc>
      </w:tr>
      <w:tr w:rsidR="0000439A" w14:paraId="7AE220B6" w14:textId="77777777">
        <w:tc>
          <w:tcPr>
            <w:tcW w:w="738" w:type="dxa"/>
          </w:tcPr>
          <w:p w14:paraId="39A72E32" w14:textId="77777777" w:rsidR="0000439A" w:rsidRDefault="005E0DBD">
            <w:r>
              <w:rPr>
                <w:rFonts w:ascii="黑体" w:eastAsia="黑体" w:hAnsi="黑体"/>
                <w:sz w:val="24"/>
              </w:rPr>
              <w:t>41</w:t>
            </w:r>
          </w:p>
        </w:tc>
        <w:tc>
          <w:tcPr>
            <w:tcW w:w="7665" w:type="dxa"/>
          </w:tcPr>
          <w:p w14:paraId="5DA415B8" w14:textId="77777777" w:rsidR="0000439A" w:rsidRDefault="005E0DBD">
            <w:proofErr w:type="spellStart"/>
            <w:r>
              <w:rPr>
                <w:rFonts w:ascii="黑体" w:eastAsia="黑体" w:hAnsi="黑体"/>
                <w:sz w:val="22"/>
              </w:rPr>
              <w:t>Inderfurth</w:t>
            </w:r>
            <w:proofErr w:type="spellEnd"/>
            <w:r>
              <w:rPr>
                <w:rFonts w:ascii="黑体" w:eastAsia="黑体" w:hAnsi="黑体"/>
                <w:sz w:val="22"/>
              </w:rPr>
              <w:t xml:space="preserve"> K, Vogelgesang S. Concepts for safety stock determination under stochastic demand and different types of random production yield[J]. European Journal of Operational Research, 2013, 224(2): 293-301.</w:t>
            </w:r>
          </w:p>
        </w:tc>
      </w:tr>
      <w:tr w:rsidR="0000439A" w14:paraId="183CCB86" w14:textId="77777777">
        <w:tc>
          <w:tcPr>
            <w:tcW w:w="738" w:type="dxa"/>
          </w:tcPr>
          <w:p w14:paraId="500DE366" w14:textId="77777777" w:rsidR="0000439A" w:rsidRDefault="005E0DBD">
            <w:r>
              <w:rPr>
                <w:rFonts w:ascii="黑体" w:eastAsia="黑体" w:hAnsi="黑体"/>
                <w:sz w:val="24"/>
              </w:rPr>
              <w:t>42</w:t>
            </w:r>
          </w:p>
        </w:tc>
        <w:tc>
          <w:tcPr>
            <w:tcW w:w="7665" w:type="dxa"/>
          </w:tcPr>
          <w:p w14:paraId="3FD98E81" w14:textId="77777777" w:rsidR="0000439A" w:rsidRDefault="005E0DBD">
            <w:proofErr w:type="spellStart"/>
            <w:r>
              <w:rPr>
                <w:rFonts w:ascii="黑体" w:eastAsia="黑体" w:hAnsi="黑体"/>
                <w:sz w:val="22"/>
              </w:rPr>
              <w:t>Inderfurth</w:t>
            </w:r>
            <w:proofErr w:type="spellEnd"/>
            <w:r>
              <w:rPr>
                <w:rFonts w:ascii="黑体" w:eastAsia="黑体" w:hAnsi="黑体"/>
                <w:sz w:val="22"/>
              </w:rPr>
              <w:t xml:space="preserve"> K, </w:t>
            </w:r>
            <w:proofErr w:type="spellStart"/>
            <w:r>
              <w:rPr>
                <w:rFonts w:ascii="黑体" w:eastAsia="黑体" w:hAnsi="黑体"/>
                <w:sz w:val="22"/>
              </w:rPr>
              <w:t>Kiesmüller</w:t>
            </w:r>
            <w:proofErr w:type="spellEnd"/>
            <w:r>
              <w:rPr>
                <w:rFonts w:ascii="黑体" w:eastAsia="黑体" w:hAnsi="黑体"/>
                <w:sz w:val="22"/>
              </w:rPr>
              <w:t xml:space="preserve"> G P. Exact and heuristic linear-inflation policies for an inventory model with random yield and arbitrary lead times[J]. European Journal of Operational Research, 2015, 245(1): 109-120.</w:t>
            </w:r>
          </w:p>
        </w:tc>
      </w:tr>
      <w:tr w:rsidR="0000439A" w14:paraId="05863592" w14:textId="77777777">
        <w:tc>
          <w:tcPr>
            <w:tcW w:w="738" w:type="dxa"/>
          </w:tcPr>
          <w:p w14:paraId="6F58934B" w14:textId="77777777" w:rsidR="0000439A" w:rsidRDefault="005E0DBD">
            <w:r>
              <w:rPr>
                <w:rFonts w:ascii="黑体" w:eastAsia="黑体" w:hAnsi="黑体"/>
                <w:sz w:val="24"/>
              </w:rPr>
              <w:t>43</w:t>
            </w:r>
          </w:p>
        </w:tc>
        <w:tc>
          <w:tcPr>
            <w:tcW w:w="7665" w:type="dxa"/>
          </w:tcPr>
          <w:p w14:paraId="34178641" w14:textId="77777777" w:rsidR="0000439A" w:rsidRDefault="005E0DBD">
            <w:r>
              <w:rPr>
                <w:rFonts w:ascii="黑体" w:eastAsia="黑体" w:hAnsi="黑体"/>
                <w:sz w:val="22"/>
              </w:rPr>
              <w:t xml:space="preserve">Wang Y, Gilland W, Tomlin B. Mitigating supply risk: Dual sourcing or process </w:t>
            </w:r>
            <w:proofErr w:type="gramStart"/>
            <w:r>
              <w:rPr>
                <w:rFonts w:ascii="黑体" w:eastAsia="黑体" w:hAnsi="黑体"/>
                <w:sz w:val="22"/>
              </w:rPr>
              <w:t>improvement?[</w:t>
            </w:r>
            <w:proofErr w:type="gramEnd"/>
            <w:r>
              <w:rPr>
                <w:rFonts w:ascii="黑体" w:eastAsia="黑体" w:hAnsi="黑体"/>
                <w:sz w:val="22"/>
              </w:rPr>
              <w:t>J]. Manufacturing &amp; Service Operations Management, 2010, 12(3): 489-510.</w:t>
            </w:r>
          </w:p>
        </w:tc>
      </w:tr>
      <w:tr w:rsidR="0000439A" w14:paraId="4B78CBE1" w14:textId="77777777">
        <w:tc>
          <w:tcPr>
            <w:tcW w:w="738" w:type="dxa"/>
          </w:tcPr>
          <w:p w14:paraId="08C1E03C" w14:textId="77777777" w:rsidR="0000439A" w:rsidRDefault="005E0DBD">
            <w:r>
              <w:rPr>
                <w:rFonts w:ascii="黑体" w:eastAsia="黑体" w:hAnsi="黑体"/>
                <w:sz w:val="24"/>
              </w:rPr>
              <w:t>44</w:t>
            </w:r>
          </w:p>
        </w:tc>
        <w:tc>
          <w:tcPr>
            <w:tcW w:w="7665" w:type="dxa"/>
          </w:tcPr>
          <w:p w14:paraId="10C40822" w14:textId="77777777" w:rsidR="0000439A" w:rsidRDefault="005E0DBD">
            <w:r>
              <w:rPr>
                <w:rFonts w:ascii="黑体" w:eastAsia="黑体" w:hAnsi="黑体"/>
                <w:sz w:val="22"/>
              </w:rPr>
              <w:t>Tang S Y, Gurnani H, Gupta D. Managing disruptions in decentralized supply chains with endogenous supply process reliability[J]. Production and Operations Management, 2014, 23(7): 1198-1211.</w:t>
            </w:r>
          </w:p>
        </w:tc>
      </w:tr>
      <w:tr w:rsidR="0000439A" w14:paraId="6672EFD4" w14:textId="77777777">
        <w:tc>
          <w:tcPr>
            <w:tcW w:w="738" w:type="dxa"/>
          </w:tcPr>
          <w:p w14:paraId="7432542C" w14:textId="77777777" w:rsidR="0000439A" w:rsidRDefault="005E0DBD">
            <w:r>
              <w:rPr>
                <w:rFonts w:ascii="黑体" w:eastAsia="黑体" w:hAnsi="黑体"/>
                <w:sz w:val="24"/>
              </w:rPr>
              <w:t>45</w:t>
            </w:r>
          </w:p>
        </w:tc>
        <w:tc>
          <w:tcPr>
            <w:tcW w:w="7665" w:type="dxa"/>
          </w:tcPr>
          <w:p w14:paraId="49D4093B" w14:textId="77777777" w:rsidR="0000439A" w:rsidRDefault="005E0DBD">
            <w:proofErr w:type="spellStart"/>
            <w:r>
              <w:rPr>
                <w:rFonts w:ascii="黑体" w:eastAsia="黑体" w:hAnsi="黑体"/>
                <w:sz w:val="22"/>
              </w:rPr>
              <w:t>Federgruen</w:t>
            </w:r>
            <w:proofErr w:type="spellEnd"/>
            <w:r>
              <w:rPr>
                <w:rFonts w:ascii="黑体" w:eastAsia="黑体" w:hAnsi="黑体"/>
                <w:sz w:val="22"/>
              </w:rPr>
              <w:t xml:space="preserve"> A, Yang N. Procurement strategies with unreliable suppliers[J]. Operations Research, 2011, 59(4): 1033-1039.</w:t>
            </w:r>
          </w:p>
        </w:tc>
      </w:tr>
      <w:tr w:rsidR="0000439A" w14:paraId="4EE1C987" w14:textId="77777777">
        <w:tc>
          <w:tcPr>
            <w:tcW w:w="738" w:type="dxa"/>
          </w:tcPr>
          <w:p w14:paraId="62677839" w14:textId="77777777" w:rsidR="0000439A" w:rsidRDefault="005E0DBD">
            <w:r>
              <w:rPr>
                <w:rFonts w:ascii="黑体" w:eastAsia="黑体" w:hAnsi="黑体"/>
                <w:sz w:val="24"/>
              </w:rPr>
              <w:t>46</w:t>
            </w:r>
          </w:p>
        </w:tc>
        <w:tc>
          <w:tcPr>
            <w:tcW w:w="7665" w:type="dxa"/>
          </w:tcPr>
          <w:p w14:paraId="367C053D" w14:textId="77777777" w:rsidR="0000439A" w:rsidRDefault="005E0DBD">
            <w:r>
              <w:rPr>
                <w:rFonts w:ascii="黑体" w:eastAsia="黑体" w:hAnsi="黑体"/>
                <w:sz w:val="22"/>
              </w:rPr>
              <w:t>Li X. Optimal procurement strategies from suppliers with random yield and all-or-nothing risks[J]. Annals of Operations Research, 2017, 257: 167-181.</w:t>
            </w:r>
          </w:p>
        </w:tc>
      </w:tr>
      <w:tr w:rsidR="0000439A" w14:paraId="768B67CC" w14:textId="77777777">
        <w:tc>
          <w:tcPr>
            <w:tcW w:w="738" w:type="dxa"/>
          </w:tcPr>
          <w:p w14:paraId="46FD2E1D" w14:textId="77777777" w:rsidR="0000439A" w:rsidRDefault="005E0DBD">
            <w:r>
              <w:rPr>
                <w:rFonts w:ascii="黑体" w:eastAsia="黑体" w:hAnsi="黑体"/>
                <w:sz w:val="24"/>
              </w:rPr>
              <w:t>47</w:t>
            </w:r>
          </w:p>
        </w:tc>
        <w:tc>
          <w:tcPr>
            <w:tcW w:w="7665" w:type="dxa"/>
          </w:tcPr>
          <w:p w14:paraId="79DEE1DA" w14:textId="77777777" w:rsidR="0000439A" w:rsidRDefault="005E0DBD">
            <w:proofErr w:type="spellStart"/>
            <w:r>
              <w:rPr>
                <w:rFonts w:ascii="黑体" w:eastAsia="黑体" w:hAnsi="黑体"/>
                <w:sz w:val="22"/>
              </w:rPr>
              <w:t>Boute</w:t>
            </w:r>
            <w:proofErr w:type="spellEnd"/>
            <w:r>
              <w:rPr>
                <w:rFonts w:ascii="黑体" w:eastAsia="黑体" w:hAnsi="黑体"/>
                <w:sz w:val="22"/>
              </w:rPr>
              <w:t xml:space="preserve"> R N, </w:t>
            </w:r>
            <w:proofErr w:type="spellStart"/>
            <w:r>
              <w:rPr>
                <w:rFonts w:ascii="黑体" w:eastAsia="黑体" w:hAnsi="黑体"/>
                <w:sz w:val="22"/>
              </w:rPr>
              <w:t>Gijsbrechts</w:t>
            </w:r>
            <w:proofErr w:type="spellEnd"/>
            <w:r>
              <w:rPr>
                <w:rFonts w:ascii="黑体" w:eastAsia="黑体" w:hAnsi="黑体"/>
                <w:sz w:val="22"/>
              </w:rPr>
              <w:t xml:space="preserve"> J, van Jaarsveld W, </w:t>
            </w:r>
            <w:proofErr w:type="spellStart"/>
            <w:r>
              <w:rPr>
                <w:rFonts w:ascii="黑体" w:eastAsia="黑体" w:hAnsi="黑体"/>
                <w:sz w:val="22"/>
              </w:rPr>
              <w:t>Vanvuchelen</w:t>
            </w:r>
            <w:proofErr w:type="spellEnd"/>
            <w:r>
              <w:rPr>
                <w:rFonts w:ascii="黑体" w:eastAsia="黑体" w:hAnsi="黑体"/>
                <w:sz w:val="22"/>
              </w:rPr>
              <w:t xml:space="preserve"> N. Deep reinforcement learning for inventory control: A roadmap[J]. European Journal of Operational Research, 2022, 298(2): 401-412.</w:t>
            </w:r>
          </w:p>
        </w:tc>
      </w:tr>
      <w:tr w:rsidR="0000439A" w14:paraId="386EBDBB" w14:textId="77777777">
        <w:tc>
          <w:tcPr>
            <w:tcW w:w="738" w:type="dxa"/>
          </w:tcPr>
          <w:p w14:paraId="5D19E3D6" w14:textId="77777777" w:rsidR="0000439A" w:rsidRDefault="005E0DBD">
            <w:r>
              <w:rPr>
                <w:rFonts w:ascii="黑体" w:eastAsia="黑体" w:hAnsi="黑体"/>
                <w:sz w:val="24"/>
              </w:rPr>
              <w:t>48</w:t>
            </w:r>
          </w:p>
        </w:tc>
        <w:tc>
          <w:tcPr>
            <w:tcW w:w="7665" w:type="dxa"/>
          </w:tcPr>
          <w:p w14:paraId="454663C8" w14:textId="77777777" w:rsidR="0000439A" w:rsidRDefault="005E0DBD">
            <w:proofErr w:type="spellStart"/>
            <w:r>
              <w:rPr>
                <w:rFonts w:ascii="黑体" w:eastAsia="黑体" w:hAnsi="黑体"/>
                <w:sz w:val="22"/>
              </w:rPr>
              <w:t>Gijsbrechts</w:t>
            </w:r>
            <w:proofErr w:type="spellEnd"/>
            <w:r>
              <w:rPr>
                <w:rFonts w:ascii="黑体" w:eastAsia="黑体" w:hAnsi="黑体"/>
                <w:sz w:val="22"/>
              </w:rPr>
              <w:t xml:space="preserve"> J, </w:t>
            </w:r>
            <w:proofErr w:type="spellStart"/>
            <w:r>
              <w:rPr>
                <w:rFonts w:ascii="黑体" w:eastAsia="黑体" w:hAnsi="黑体"/>
                <w:sz w:val="22"/>
              </w:rPr>
              <w:t>Boute</w:t>
            </w:r>
            <w:proofErr w:type="spellEnd"/>
            <w:r>
              <w:rPr>
                <w:rFonts w:ascii="黑体" w:eastAsia="黑体" w:hAnsi="黑体"/>
                <w:sz w:val="22"/>
              </w:rPr>
              <w:t xml:space="preserve"> R N, Van </w:t>
            </w:r>
            <w:proofErr w:type="spellStart"/>
            <w:r>
              <w:rPr>
                <w:rFonts w:ascii="黑体" w:eastAsia="黑体" w:hAnsi="黑体"/>
                <w:sz w:val="22"/>
              </w:rPr>
              <w:t>Mieghem</w:t>
            </w:r>
            <w:proofErr w:type="spellEnd"/>
            <w:r>
              <w:rPr>
                <w:rFonts w:ascii="黑体" w:eastAsia="黑体" w:hAnsi="黑体"/>
                <w:sz w:val="22"/>
              </w:rPr>
              <w:t xml:space="preserve"> J A, Zhang D J. Can deep reinforcement learning improve inventory management? Performance on lost sales, dual-sourcing, and multi-echelon problems[J]. Manufacturing &amp; Service Operations Management, 2022, 24(3): 1349-1368.</w:t>
            </w:r>
          </w:p>
        </w:tc>
      </w:tr>
      <w:tr w:rsidR="0000439A" w14:paraId="7FA2333E" w14:textId="77777777">
        <w:tc>
          <w:tcPr>
            <w:tcW w:w="738" w:type="dxa"/>
          </w:tcPr>
          <w:p w14:paraId="0B71931E" w14:textId="77777777" w:rsidR="0000439A" w:rsidRDefault="005E0DBD">
            <w:r>
              <w:rPr>
                <w:rFonts w:ascii="黑体" w:eastAsia="黑体" w:hAnsi="黑体"/>
                <w:sz w:val="24"/>
              </w:rPr>
              <w:t>49</w:t>
            </w:r>
          </w:p>
        </w:tc>
        <w:tc>
          <w:tcPr>
            <w:tcW w:w="7665" w:type="dxa"/>
          </w:tcPr>
          <w:p w14:paraId="1F2593C2" w14:textId="4667BD52" w:rsidR="0000439A" w:rsidRDefault="005E0DBD">
            <w:proofErr w:type="spellStart"/>
            <w:r>
              <w:rPr>
                <w:rFonts w:ascii="黑体" w:eastAsia="黑体" w:hAnsi="黑体"/>
                <w:sz w:val="22"/>
              </w:rPr>
              <w:t>Oroojlooyjadid</w:t>
            </w:r>
            <w:proofErr w:type="spellEnd"/>
            <w:r>
              <w:rPr>
                <w:rFonts w:ascii="黑体" w:eastAsia="黑体" w:hAnsi="黑体"/>
                <w:sz w:val="22"/>
              </w:rPr>
              <w:t xml:space="preserve"> A, Nazari M, Snyder L V, Takáč M. A deep Q-network for the beer game</w:t>
            </w:r>
            <w:r w:rsidR="00031823">
              <w:rPr>
                <w:rFonts w:ascii="黑体" w:eastAsia="黑体" w:hAnsi="黑体" w:hint="eastAsia"/>
                <w:sz w:val="22"/>
              </w:rPr>
              <w:t>：</w:t>
            </w:r>
            <w:r w:rsidR="00031823" w:rsidRPr="00031823">
              <w:rPr>
                <w:rFonts w:ascii="黑体" w:eastAsia="黑体" w:hAnsi="黑体"/>
                <w:sz w:val="22"/>
              </w:rPr>
              <w:t>Deep reinforcement learning for inventory optimization</w:t>
            </w:r>
            <w:r>
              <w:rPr>
                <w:rFonts w:ascii="黑体" w:eastAsia="黑体" w:hAnsi="黑体"/>
                <w:sz w:val="22"/>
              </w:rPr>
              <w:t>[J]. Manufacturing &amp; Service Operations Management, 2022, 24(1): 285-304.</w:t>
            </w:r>
          </w:p>
        </w:tc>
      </w:tr>
      <w:tr w:rsidR="0000439A" w14:paraId="199D0D67" w14:textId="77777777">
        <w:tc>
          <w:tcPr>
            <w:tcW w:w="738" w:type="dxa"/>
          </w:tcPr>
          <w:p w14:paraId="0C94D374" w14:textId="77777777" w:rsidR="0000439A" w:rsidRDefault="005E0DBD">
            <w:r>
              <w:rPr>
                <w:rFonts w:ascii="黑体" w:eastAsia="黑体" w:hAnsi="黑体"/>
                <w:sz w:val="24"/>
              </w:rPr>
              <w:t>50</w:t>
            </w:r>
          </w:p>
        </w:tc>
        <w:tc>
          <w:tcPr>
            <w:tcW w:w="7665" w:type="dxa"/>
          </w:tcPr>
          <w:p w14:paraId="4480BB45" w14:textId="77777777" w:rsidR="0000439A" w:rsidRDefault="005E0DBD">
            <w:r>
              <w:rPr>
                <w:rFonts w:ascii="黑体" w:eastAsia="黑体" w:hAnsi="黑体"/>
                <w:sz w:val="22"/>
              </w:rPr>
              <w:t xml:space="preserve">De Moor B J, </w:t>
            </w:r>
            <w:proofErr w:type="spellStart"/>
            <w:r>
              <w:rPr>
                <w:rFonts w:ascii="黑体" w:eastAsia="黑体" w:hAnsi="黑体"/>
                <w:sz w:val="22"/>
              </w:rPr>
              <w:t>Gijsbrechts</w:t>
            </w:r>
            <w:proofErr w:type="spellEnd"/>
            <w:r>
              <w:rPr>
                <w:rFonts w:ascii="黑体" w:eastAsia="黑体" w:hAnsi="黑体"/>
                <w:sz w:val="22"/>
              </w:rPr>
              <w:t xml:space="preserve"> J, </w:t>
            </w:r>
            <w:proofErr w:type="spellStart"/>
            <w:r>
              <w:rPr>
                <w:rFonts w:ascii="黑体" w:eastAsia="黑体" w:hAnsi="黑体"/>
                <w:sz w:val="22"/>
              </w:rPr>
              <w:t>Boute</w:t>
            </w:r>
            <w:proofErr w:type="spellEnd"/>
            <w:r>
              <w:rPr>
                <w:rFonts w:ascii="黑体" w:eastAsia="黑体" w:hAnsi="黑体"/>
                <w:sz w:val="22"/>
              </w:rPr>
              <w:t xml:space="preserve"> R N. Reward shaping to improve the performance of deep reinforcement learning in perishable inventory management[J]. European Journal of Operational Research, 2022, 301(2): 535-545.</w:t>
            </w:r>
          </w:p>
        </w:tc>
      </w:tr>
      <w:tr w:rsidR="0000439A" w14:paraId="14C2B90D" w14:textId="77777777">
        <w:tc>
          <w:tcPr>
            <w:tcW w:w="738" w:type="dxa"/>
          </w:tcPr>
          <w:p w14:paraId="3917D8E6" w14:textId="77777777" w:rsidR="0000439A" w:rsidRDefault="005E0DBD">
            <w:r>
              <w:rPr>
                <w:rFonts w:ascii="黑体" w:eastAsia="黑体" w:hAnsi="黑体"/>
                <w:sz w:val="24"/>
              </w:rPr>
              <w:t>51</w:t>
            </w:r>
          </w:p>
        </w:tc>
        <w:tc>
          <w:tcPr>
            <w:tcW w:w="7665" w:type="dxa"/>
          </w:tcPr>
          <w:p w14:paraId="0C3076F6" w14:textId="77777777" w:rsidR="00031823" w:rsidRPr="00031823" w:rsidRDefault="005E0DBD" w:rsidP="00031823">
            <w:pPr>
              <w:rPr>
                <w:rFonts w:ascii="黑体" w:eastAsia="黑体" w:hAnsi="黑体"/>
                <w:sz w:val="22"/>
              </w:rPr>
            </w:pPr>
            <w:proofErr w:type="spellStart"/>
            <w:r>
              <w:rPr>
                <w:rFonts w:ascii="黑体" w:eastAsia="黑体" w:hAnsi="黑体"/>
                <w:sz w:val="22"/>
              </w:rPr>
              <w:t>Bertsekas</w:t>
            </w:r>
            <w:proofErr w:type="spellEnd"/>
            <w:r>
              <w:rPr>
                <w:rFonts w:ascii="黑体" w:eastAsia="黑体" w:hAnsi="黑体"/>
                <w:sz w:val="22"/>
              </w:rPr>
              <w:t xml:space="preserve"> D. Reinforcement Learning and Optimal Control</w:t>
            </w:r>
            <w:r w:rsidR="00031823">
              <w:rPr>
                <w:rFonts w:ascii="黑体" w:eastAsia="黑体" w:hAnsi="黑体" w:hint="eastAsia"/>
                <w:sz w:val="22"/>
              </w:rPr>
              <w:t>：</w:t>
            </w:r>
            <w:r w:rsidR="00031823" w:rsidRPr="00031823">
              <w:rPr>
                <w:rFonts w:ascii="黑体" w:eastAsia="黑体" w:hAnsi="黑体"/>
                <w:sz w:val="22"/>
              </w:rPr>
              <w:t>A practical</w:t>
            </w:r>
          </w:p>
          <w:p w14:paraId="62E8B709" w14:textId="5C265A6C" w:rsidR="0000439A" w:rsidRDefault="00031823" w:rsidP="00031823">
            <w:r w:rsidRPr="00031823">
              <w:rPr>
                <w:rFonts w:ascii="黑体" w:eastAsia="黑体" w:hAnsi="黑体"/>
                <w:sz w:val="22"/>
              </w:rPr>
              <w:t>introduction</w:t>
            </w:r>
            <w:r>
              <w:rPr>
                <w:rFonts w:ascii="黑体" w:eastAsia="黑体" w:hAnsi="黑体"/>
                <w:sz w:val="22"/>
              </w:rPr>
              <w:t>[M]. Athena Scientific, 2019.</w:t>
            </w:r>
          </w:p>
        </w:tc>
      </w:tr>
      <w:tr w:rsidR="0000439A" w14:paraId="089A3FC1" w14:textId="77777777">
        <w:tc>
          <w:tcPr>
            <w:tcW w:w="738" w:type="dxa"/>
          </w:tcPr>
          <w:p w14:paraId="0D41E6F7" w14:textId="77777777" w:rsidR="0000439A" w:rsidRDefault="005E0DBD">
            <w:r>
              <w:rPr>
                <w:rFonts w:ascii="黑体" w:eastAsia="黑体" w:hAnsi="黑体"/>
                <w:sz w:val="24"/>
              </w:rPr>
              <w:t>52</w:t>
            </w:r>
          </w:p>
        </w:tc>
        <w:tc>
          <w:tcPr>
            <w:tcW w:w="7665" w:type="dxa"/>
          </w:tcPr>
          <w:p w14:paraId="344650E5" w14:textId="77777777" w:rsidR="0000439A" w:rsidRDefault="005E0DBD">
            <w:r>
              <w:rPr>
                <w:rFonts w:ascii="黑体" w:eastAsia="黑体" w:hAnsi="黑体"/>
                <w:sz w:val="22"/>
              </w:rPr>
              <w:t xml:space="preserve">Pardo F, Tavakoli A, </w:t>
            </w:r>
            <w:proofErr w:type="spellStart"/>
            <w:r>
              <w:rPr>
                <w:rFonts w:ascii="黑体" w:eastAsia="黑体" w:hAnsi="黑体"/>
                <w:sz w:val="22"/>
              </w:rPr>
              <w:t>Levdik</w:t>
            </w:r>
            <w:proofErr w:type="spellEnd"/>
            <w:r>
              <w:rPr>
                <w:rFonts w:ascii="黑体" w:eastAsia="黑体" w:hAnsi="黑体"/>
                <w:sz w:val="22"/>
              </w:rPr>
              <w:t xml:space="preserve"> V, </w:t>
            </w:r>
            <w:proofErr w:type="spellStart"/>
            <w:r>
              <w:rPr>
                <w:rFonts w:ascii="黑体" w:eastAsia="黑体" w:hAnsi="黑体"/>
                <w:sz w:val="22"/>
              </w:rPr>
              <w:t>Kormushev</w:t>
            </w:r>
            <w:proofErr w:type="spellEnd"/>
            <w:r>
              <w:rPr>
                <w:rFonts w:ascii="黑体" w:eastAsia="黑体" w:hAnsi="黑体"/>
                <w:sz w:val="22"/>
              </w:rPr>
              <w:t xml:space="preserve"> P. Time limits in reinforcement learning[C]. ICML, 2018.</w:t>
            </w:r>
          </w:p>
        </w:tc>
      </w:tr>
      <w:tr w:rsidR="0000439A" w14:paraId="56AE5F88" w14:textId="77777777">
        <w:tc>
          <w:tcPr>
            <w:tcW w:w="738" w:type="dxa"/>
          </w:tcPr>
          <w:p w14:paraId="208C8B6F" w14:textId="77777777" w:rsidR="0000439A" w:rsidRDefault="005E0DBD">
            <w:r>
              <w:rPr>
                <w:rFonts w:ascii="黑体" w:eastAsia="黑体" w:hAnsi="黑体"/>
                <w:sz w:val="24"/>
              </w:rPr>
              <w:t>53</w:t>
            </w:r>
          </w:p>
        </w:tc>
        <w:tc>
          <w:tcPr>
            <w:tcW w:w="7665" w:type="dxa"/>
          </w:tcPr>
          <w:p w14:paraId="09ED449F" w14:textId="77777777" w:rsidR="00031823" w:rsidRPr="00031823" w:rsidRDefault="00031823" w:rsidP="00031823">
            <w:pPr>
              <w:rPr>
                <w:rFonts w:ascii="黑体" w:eastAsia="黑体" w:hAnsi="黑体"/>
                <w:sz w:val="22"/>
              </w:rPr>
            </w:pPr>
            <w:r w:rsidRPr="00031823">
              <w:rPr>
                <w:rFonts w:ascii="黑体" w:eastAsia="黑体" w:hAnsi="黑体"/>
                <w:sz w:val="22"/>
              </w:rPr>
              <w:t xml:space="preserve">Mao W, Zhang K, Zhu R, </w:t>
            </w:r>
            <w:proofErr w:type="spellStart"/>
            <w:r w:rsidRPr="00031823">
              <w:rPr>
                <w:rFonts w:ascii="黑体" w:eastAsia="黑体" w:hAnsi="黑体"/>
                <w:sz w:val="22"/>
              </w:rPr>
              <w:t>Simchi</w:t>
            </w:r>
            <w:proofErr w:type="spellEnd"/>
            <w:r w:rsidRPr="00031823">
              <w:rPr>
                <w:rFonts w:ascii="黑体" w:eastAsia="黑体" w:hAnsi="黑体"/>
                <w:sz w:val="22"/>
              </w:rPr>
              <w:t>-Levi D, Ba</w:t>
            </w:r>
            <w:r w:rsidRPr="00031823">
              <w:rPr>
                <w:rFonts w:ascii="Calibri" w:eastAsia="黑体" w:hAnsi="Calibri" w:cs="Calibri"/>
                <w:sz w:val="22"/>
              </w:rPr>
              <w:t>ş</w:t>
            </w:r>
            <w:r w:rsidRPr="00031823">
              <w:rPr>
                <w:rFonts w:ascii="黑体" w:eastAsia="黑体" w:hAnsi="黑体"/>
                <w:sz w:val="22"/>
              </w:rPr>
              <w:t>ar T. Model-Free Nonstationary</w:t>
            </w:r>
          </w:p>
          <w:p w14:paraId="4ACDDD44" w14:textId="54DD2677" w:rsidR="0000439A" w:rsidRPr="00031823" w:rsidRDefault="00031823" w:rsidP="00031823">
            <w:pPr>
              <w:rPr>
                <w:rFonts w:ascii="黑体" w:eastAsia="黑体" w:hAnsi="黑体"/>
                <w:sz w:val="22"/>
              </w:rPr>
            </w:pPr>
            <w:r w:rsidRPr="00031823">
              <w:rPr>
                <w:rFonts w:ascii="黑体" w:eastAsia="黑体" w:hAnsi="黑体"/>
                <w:sz w:val="22"/>
              </w:rPr>
              <w:t>Reinforcement Learning: Near-Optimal</w:t>
            </w:r>
            <w:r>
              <w:rPr>
                <w:rFonts w:ascii="黑体" w:eastAsia="黑体" w:hAnsi="黑体"/>
                <w:sz w:val="22"/>
              </w:rPr>
              <w:t xml:space="preserve"> </w:t>
            </w:r>
            <w:r w:rsidRPr="00031823">
              <w:rPr>
                <w:rFonts w:ascii="黑体" w:eastAsia="黑体" w:hAnsi="黑体"/>
                <w:sz w:val="22"/>
              </w:rPr>
              <w:t xml:space="preserve">Regret and Applications in </w:t>
            </w:r>
            <w:r w:rsidRPr="00031823">
              <w:rPr>
                <w:rFonts w:ascii="黑体" w:eastAsia="黑体" w:hAnsi="黑体"/>
                <w:sz w:val="22"/>
              </w:rPr>
              <w:lastRenderedPageBreak/>
              <w:t>Multiagent</w:t>
            </w:r>
            <w:r>
              <w:rPr>
                <w:rFonts w:ascii="黑体" w:eastAsia="黑体" w:hAnsi="黑体"/>
                <w:sz w:val="22"/>
              </w:rPr>
              <w:t xml:space="preserve"> </w:t>
            </w:r>
            <w:r w:rsidRPr="00031823">
              <w:rPr>
                <w:rFonts w:ascii="黑体" w:eastAsia="黑体" w:hAnsi="黑体"/>
                <w:sz w:val="22"/>
              </w:rPr>
              <w:t>Reinforcement Learning and Inventory Control[J]. Management Science,2025, 71(2): 1564-1580.</w:t>
            </w:r>
          </w:p>
        </w:tc>
      </w:tr>
      <w:tr w:rsidR="0000439A" w14:paraId="281C95D6" w14:textId="77777777">
        <w:tc>
          <w:tcPr>
            <w:tcW w:w="738" w:type="dxa"/>
          </w:tcPr>
          <w:p w14:paraId="7A93B879" w14:textId="77777777" w:rsidR="0000439A" w:rsidRDefault="005E0DBD">
            <w:r>
              <w:rPr>
                <w:rFonts w:ascii="黑体" w:eastAsia="黑体" w:hAnsi="黑体"/>
                <w:sz w:val="24"/>
              </w:rPr>
              <w:lastRenderedPageBreak/>
              <w:t>54</w:t>
            </w:r>
          </w:p>
        </w:tc>
        <w:tc>
          <w:tcPr>
            <w:tcW w:w="7665" w:type="dxa"/>
          </w:tcPr>
          <w:p w14:paraId="1018F285" w14:textId="3E30A354" w:rsidR="0000439A" w:rsidRDefault="005E0DBD">
            <w:proofErr w:type="spellStart"/>
            <w:r>
              <w:rPr>
                <w:rFonts w:ascii="黑体" w:eastAsia="黑体" w:hAnsi="黑体"/>
                <w:sz w:val="22"/>
              </w:rPr>
              <w:t>Dehaybe</w:t>
            </w:r>
            <w:proofErr w:type="spellEnd"/>
            <w:r>
              <w:rPr>
                <w:rFonts w:ascii="黑体" w:eastAsia="黑体" w:hAnsi="黑体"/>
                <w:sz w:val="22"/>
              </w:rPr>
              <w:t xml:space="preserve"> H, Catanzaro D, Chevalier P. Deep reinforcement learning for inventory optimization with non-stationary uncertain demand[J]. European Journal of Operational Research,</w:t>
            </w:r>
            <w:r w:rsidR="00031823">
              <w:t xml:space="preserve"> </w:t>
            </w:r>
            <w:r w:rsidR="00031823" w:rsidRPr="00031823">
              <w:rPr>
                <w:rFonts w:ascii="黑体" w:eastAsia="黑体" w:hAnsi="黑体"/>
                <w:sz w:val="22"/>
              </w:rPr>
              <w:t>2024, 314(2): 433-445.</w:t>
            </w:r>
          </w:p>
        </w:tc>
      </w:tr>
      <w:tr w:rsidR="0000439A" w14:paraId="623589CF" w14:textId="77777777">
        <w:tc>
          <w:tcPr>
            <w:tcW w:w="738" w:type="dxa"/>
          </w:tcPr>
          <w:p w14:paraId="6BACEB16" w14:textId="77777777" w:rsidR="0000439A" w:rsidRDefault="005E0DBD">
            <w:r>
              <w:rPr>
                <w:rFonts w:ascii="黑体" w:eastAsia="黑体" w:hAnsi="黑体"/>
                <w:sz w:val="24"/>
              </w:rPr>
              <w:t>55</w:t>
            </w:r>
          </w:p>
        </w:tc>
        <w:tc>
          <w:tcPr>
            <w:tcW w:w="7665" w:type="dxa"/>
          </w:tcPr>
          <w:p w14:paraId="63C39B9C" w14:textId="77777777" w:rsidR="0000439A" w:rsidRDefault="005E0DBD">
            <w:proofErr w:type="spellStart"/>
            <w:r>
              <w:rPr>
                <w:rFonts w:ascii="黑体" w:eastAsia="黑体" w:hAnsi="黑体"/>
                <w:sz w:val="22"/>
              </w:rPr>
              <w:t>DeCroix</w:t>
            </w:r>
            <w:proofErr w:type="spellEnd"/>
            <w:r>
              <w:rPr>
                <w:rFonts w:ascii="黑体" w:eastAsia="黑体" w:hAnsi="黑体"/>
                <w:sz w:val="22"/>
              </w:rPr>
              <w:t xml:space="preserve"> G A. Inventory management for an assembly system subject to supply disruptions[J]. Management Science, 2013, 59(9): 2079-2092.</w:t>
            </w:r>
          </w:p>
        </w:tc>
      </w:tr>
      <w:tr w:rsidR="0000439A" w14:paraId="1CD183F9" w14:textId="77777777">
        <w:tc>
          <w:tcPr>
            <w:tcW w:w="738" w:type="dxa"/>
          </w:tcPr>
          <w:p w14:paraId="3AF4B7BF" w14:textId="77777777" w:rsidR="0000439A" w:rsidRDefault="005E0DBD">
            <w:r>
              <w:rPr>
                <w:rFonts w:ascii="黑体" w:eastAsia="黑体" w:hAnsi="黑体"/>
                <w:sz w:val="24"/>
              </w:rPr>
              <w:t>56</w:t>
            </w:r>
          </w:p>
        </w:tc>
        <w:tc>
          <w:tcPr>
            <w:tcW w:w="7665" w:type="dxa"/>
          </w:tcPr>
          <w:p w14:paraId="5939E34A" w14:textId="77777777" w:rsidR="0000439A" w:rsidRDefault="005E0DBD">
            <w:proofErr w:type="spellStart"/>
            <w:r>
              <w:rPr>
                <w:rFonts w:ascii="黑体" w:eastAsia="黑体" w:hAnsi="黑体"/>
                <w:sz w:val="22"/>
              </w:rPr>
              <w:t>Kouvelis</w:t>
            </w:r>
            <w:proofErr w:type="spellEnd"/>
            <w:r>
              <w:rPr>
                <w:rFonts w:ascii="黑体" w:eastAsia="黑体" w:hAnsi="黑体"/>
                <w:sz w:val="22"/>
              </w:rPr>
              <w:t xml:space="preserve"> P, Xiao G, Yang N. On the properties of yield distributions in random yield problems: Conditions, class of distributions and relevant applications[J]. Production and Operations Management, 2018, 27(7): 1291-1302.</w:t>
            </w:r>
          </w:p>
        </w:tc>
      </w:tr>
      <w:tr w:rsidR="0000439A" w14:paraId="0429E6A9" w14:textId="77777777">
        <w:tc>
          <w:tcPr>
            <w:tcW w:w="738" w:type="dxa"/>
          </w:tcPr>
          <w:p w14:paraId="2CC0A520" w14:textId="77777777" w:rsidR="0000439A" w:rsidRDefault="005E0DBD">
            <w:r>
              <w:rPr>
                <w:rFonts w:ascii="黑体" w:eastAsia="黑体" w:hAnsi="黑体"/>
                <w:sz w:val="24"/>
              </w:rPr>
              <w:t>57</w:t>
            </w:r>
          </w:p>
        </w:tc>
        <w:tc>
          <w:tcPr>
            <w:tcW w:w="7665" w:type="dxa"/>
          </w:tcPr>
          <w:p w14:paraId="758B82E8" w14:textId="77777777" w:rsidR="0000439A" w:rsidRDefault="005E0DBD">
            <w:r>
              <w:rPr>
                <w:rFonts w:ascii="黑体" w:eastAsia="黑体" w:hAnsi="黑体"/>
                <w:sz w:val="22"/>
              </w:rPr>
              <w:t>Yuan X, Bi G, Fei Y, Liu L. Supply chain with random yield and financing[J]. Omega, 2021, 102: 102334.</w:t>
            </w:r>
          </w:p>
        </w:tc>
      </w:tr>
      <w:tr w:rsidR="0000439A" w14:paraId="1F7EDD6F" w14:textId="77777777">
        <w:tc>
          <w:tcPr>
            <w:tcW w:w="738" w:type="dxa"/>
          </w:tcPr>
          <w:p w14:paraId="568295EB" w14:textId="77777777" w:rsidR="0000439A" w:rsidRDefault="005E0DBD">
            <w:r>
              <w:rPr>
                <w:rFonts w:ascii="黑体" w:eastAsia="黑体" w:hAnsi="黑体"/>
                <w:sz w:val="24"/>
              </w:rPr>
              <w:t>58</w:t>
            </w:r>
          </w:p>
        </w:tc>
        <w:tc>
          <w:tcPr>
            <w:tcW w:w="7665" w:type="dxa"/>
          </w:tcPr>
          <w:p w14:paraId="6ABE3EDF" w14:textId="77777777" w:rsidR="0000439A" w:rsidRDefault="005E0DBD">
            <w:r>
              <w:rPr>
                <w:rFonts w:ascii="黑体" w:eastAsia="黑体" w:hAnsi="黑体"/>
                <w:sz w:val="22"/>
              </w:rPr>
              <w:t xml:space="preserve">Bu J, Gong X, Yao D. Technical note: Constant-order policies for lost-sales inventory models with random supply functions: </w:t>
            </w:r>
            <w:proofErr w:type="spellStart"/>
            <w:r>
              <w:rPr>
                <w:rFonts w:ascii="黑体" w:eastAsia="黑体" w:hAnsi="黑体"/>
                <w:sz w:val="22"/>
              </w:rPr>
              <w:t>Asymptotics</w:t>
            </w:r>
            <w:proofErr w:type="spellEnd"/>
            <w:r>
              <w:rPr>
                <w:rFonts w:ascii="黑体" w:eastAsia="黑体" w:hAnsi="黑体"/>
                <w:sz w:val="22"/>
              </w:rPr>
              <w:t xml:space="preserve"> and heuristic[J]. Operations Research, 2020, 68(4): 1063-1073.</w:t>
            </w:r>
          </w:p>
        </w:tc>
      </w:tr>
      <w:tr w:rsidR="0000439A" w14:paraId="1DBD3425" w14:textId="77777777">
        <w:tc>
          <w:tcPr>
            <w:tcW w:w="738" w:type="dxa"/>
          </w:tcPr>
          <w:p w14:paraId="6101BECB" w14:textId="77777777" w:rsidR="0000439A" w:rsidRDefault="005E0DBD">
            <w:r>
              <w:rPr>
                <w:rFonts w:ascii="黑体" w:eastAsia="黑体" w:hAnsi="黑体"/>
                <w:sz w:val="24"/>
              </w:rPr>
              <w:t>59</w:t>
            </w:r>
          </w:p>
        </w:tc>
        <w:tc>
          <w:tcPr>
            <w:tcW w:w="7665" w:type="dxa"/>
          </w:tcPr>
          <w:p w14:paraId="1B0158ED" w14:textId="77777777" w:rsidR="0000439A" w:rsidRDefault="005E0DBD">
            <w:proofErr w:type="spellStart"/>
            <w:r>
              <w:rPr>
                <w:rFonts w:ascii="黑体" w:eastAsia="黑体" w:hAnsi="黑体"/>
                <w:sz w:val="22"/>
              </w:rPr>
              <w:t>Kaynov</w:t>
            </w:r>
            <w:proofErr w:type="spellEnd"/>
            <w:r>
              <w:rPr>
                <w:rFonts w:ascii="黑体" w:eastAsia="黑体" w:hAnsi="黑体"/>
                <w:sz w:val="22"/>
              </w:rPr>
              <w:t xml:space="preserve"> I, van Knippenberg M, </w:t>
            </w:r>
            <w:proofErr w:type="spellStart"/>
            <w:r>
              <w:rPr>
                <w:rFonts w:ascii="黑体" w:eastAsia="黑体" w:hAnsi="黑体"/>
                <w:sz w:val="22"/>
              </w:rPr>
              <w:t>Menkovski</w:t>
            </w:r>
            <w:proofErr w:type="spellEnd"/>
            <w:r>
              <w:rPr>
                <w:rFonts w:ascii="黑体" w:eastAsia="黑体" w:hAnsi="黑体"/>
                <w:sz w:val="22"/>
              </w:rPr>
              <w:t xml:space="preserve"> V, van </w:t>
            </w:r>
            <w:proofErr w:type="spellStart"/>
            <w:r>
              <w:rPr>
                <w:rFonts w:ascii="黑体" w:eastAsia="黑体" w:hAnsi="黑体"/>
                <w:sz w:val="22"/>
              </w:rPr>
              <w:t>Breemen</w:t>
            </w:r>
            <w:proofErr w:type="spellEnd"/>
            <w:r>
              <w:rPr>
                <w:rFonts w:ascii="黑体" w:eastAsia="黑体" w:hAnsi="黑体"/>
                <w:sz w:val="22"/>
              </w:rPr>
              <w:t xml:space="preserve"> A, van Jaarsveld W. Deep reinforcement learning for one-warehouse multi-retailer inventory management[J]. International Journal of Production Economics, 2024, 267: 109088.</w:t>
            </w:r>
          </w:p>
        </w:tc>
      </w:tr>
      <w:tr w:rsidR="0000439A" w14:paraId="1B621DD8" w14:textId="77777777">
        <w:tc>
          <w:tcPr>
            <w:tcW w:w="738" w:type="dxa"/>
          </w:tcPr>
          <w:p w14:paraId="7E86442F" w14:textId="77777777" w:rsidR="0000439A" w:rsidRDefault="005E0DBD">
            <w:r>
              <w:rPr>
                <w:rFonts w:ascii="黑体" w:eastAsia="黑体" w:hAnsi="黑体"/>
                <w:sz w:val="24"/>
              </w:rPr>
              <w:t>60</w:t>
            </w:r>
          </w:p>
        </w:tc>
        <w:tc>
          <w:tcPr>
            <w:tcW w:w="7665" w:type="dxa"/>
          </w:tcPr>
          <w:p w14:paraId="7FF2A99E" w14:textId="77777777" w:rsidR="0000439A" w:rsidRDefault="005E0DBD">
            <w:r>
              <w:rPr>
                <w:rFonts w:ascii="黑体" w:eastAsia="黑体" w:hAnsi="黑体"/>
                <w:sz w:val="22"/>
              </w:rPr>
              <w:t>Wang Y, Minner S. Deep reinforcement learning for demand fulfillment in online retail[J]. International Journal of Production Economics, 2024, 269: 109133.</w:t>
            </w:r>
          </w:p>
        </w:tc>
      </w:tr>
    </w:tbl>
    <w:p w14:paraId="1E1F9C4C" w14:textId="77777777" w:rsidR="001A62CB" w:rsidRDefault="001A62CB">
      <w:pPr>
        <w:rPr>
          <w:rFonts w:eastAsia="黑体"/>
          <w:sz w:val="24"/>
        </w:rPr>
      </w:pPr>
    </w:p>
    <w:p w14:paraId="3DBBC542" w14:textId="77777777" w:rsidR="009C6FD2" w:rsidRDefault="009C6FD2">
      <w:pPr>
        <w:rPr>
          <w:rFonts w:eastAsia="黑体"/>
          <w:sz w:val="24"/>
        </w:rPr>
      </w:pPr>
    </w:p>
    <w:p w14:paraId="5134FB1A" w14:textId="77777777" w:rsidR="00E24D3A" w:rsidRDefault="00E24D3A">
      <w:pPr>
        <w:rPr>
          <w:rFonts w:eastAsia="黑体"/>
          <w:sz w:val="24"/>
        </w:rPr>
      </w:pPr>
    </w:p>
    <w:p w14:paraId="10780351" w14:textId="77777777" w:rsidR="00E24D3A" w:rsidRDefault="00E24D3A">
      <w:pPr>
        <w:rPr>
          <w:rFonts w:eastAsia="黑体"/>
          <w:sz w:val="24"/>
        </w:rPr>
      </w:pPr>
    </w:p>
    <w:p w14:paraId="69B7F996" w14:textId="77777777" w:rsidR="00E24D3A" w:rsidRDefault="00E24D3A">
      <w:pPr>
        <w:rPr>
          <w:rFonts w:eastAsia="黑体"/>
          <w:sz w:val="24"/>
        </w:rPr>
      </w:pPr>
    </w:p>
    <w:p w14:paraId="53B6B0A2" w14:textId="77777777" w:rsidR="00E24D3A" w:rsidRDefault="00E24D3A">
      <w:pPr>
        <w:rPr>
          <w:rFonts w:eastAsia="黑体"/>
          <w:sz w:val="24"/>
        </w:rPr>
      </w:pPr>
    </w:p>
    <w:p w14:paraId="64AD2901" w14:textId="77777777" w:rsidR="00E24D3A" w:rsidRDefault="00E24D3A">
      <w:pPr>
        <w:rPr>
          <w:rFonts w:eastAsia="黑体"/>
          <w:sz w:val="24"/>
        </w:rPr>
      </w:pPr>
    </w:p>
    <w:p w14:paraId="5BE7556F" w14:textId="77777777" w:rsidR="00E24D3A" w:rsidRDefault="00E24D3A">
      <w:pPr>
        <w:rPr>
          <w:rFonts w:eastAsia="黑体"/>
          <w:sz w:val="24"/>
        </w:rPr>
      </w:pPr>
    </w:p>
    <w:p w14:paraId="34B04D9E" w14:textId="77777777" w:rsidR="00E24D3A" w:rsidRDefault="00E24D3A">
      <w:pPr>
        <w:rPr>
          <w:rFonts w:eastAsia="黑体"/>
          <w:sz w:val="24"/>
        </w:rPr>
      </w:pPr>
    </w:p>
    <w:p w14:paraId="5C79C38A" w14:textId="77777777" w:rsidR="00E24D3A" w:rsidRDefault="00E24D3A">
      <w:pPr>
        <w:rPr>
          <w:rFonts w:eastAsia="黑体"/>
          <w:sz w:val="24"/>
        </w:rPr>
      </w:pPr>
    </w:p>
    <w:p w14:paraId="70232F4C" w14:textId="77777777" w:rsidR="00E24D3A" w:rsidRDefault="00E24D3A">
      <w:pPr>
        <w:rPr>
          <w:rFonts w:eastAsia="黑体"/>
          <w:sz w:val="24"/>
        </w:rPr>
      </w:pPr>
    </w:p>
    <w:p w14:paraId="2463C579" w14:textId="77777777" w:rsidR="00E24D3A" w:rsidRDefault="00E24D3A">
      <w:pPr>
        <w:rPr>
          <w:rFonts w:eastAsia="黑体"/>
          <w:sz w:val="24"/>
        </w:rPr>
      </w:pPr>
    </w:p>
    <w:p w14:paraId="3FCC5574" w14:textId="77777777" w:rsidR="00E24D3A" w:rsidRDefault="00E24D3A">
      <w:pPr>
        <w:rPr>
          <w:rFonts w:eastAsia="黑体"/>
          <w:sz w:val="24"/>
        </w:rPr>
      </w:pPr>
    </w:p>
    <w:p w14:paraId="4CA45770" w14:textId="77777777" w:rsidR="00E24D3A" w:rsidRDefault="00E24D3A">
      <w:pPr>
        <w:rPr>
          <w:rFonts w:eastAsia="黑体"/>
          <w:sz w:val="24"/>
        </w:rPr>
      </w:pPr>
    </w:p>
    <w:p w14:paraId="43A4A7B1" w14:textId="77777777" w:rsidR="00E24D3A" w:rsidRDefault="00E24D3A">
      <w:pPr>
        <w:rPr>
          <w:rFonts w:eastAsia="黑体"/>
          <w:sz w:val="24"/>
        </w:rPr>
      </w:pPr>
    </w:p>
    <w:p w14:paraId="14BC5B0E" w14:textId="77777777" w:rsidR="00E24D3A" w:rsidRDefault="00E24D3A">
      <w:pPr>
        <w:rPr>
          <w:rFonts w:eastAsia="黑体"/>
          <w:sz w:val="24"/>
        </w:rPr>
      </w:pPr>
    </w:p>
    <w:p w14:paraId="601EBAFD" w14:textId="77777777" w:rsidR="00E24D3A" w:rsidRDefault="00E24D3A">
      <w:pPr>
        <w:rPr>
          <w:rFonts w:eastAsia="黑体"/>
          <w:sz w:val="24"/>
        </w:rPr>
      </w:pPr>
    </w:p>
    <w:p w14:paraId="7545FE2A" w14:textId="77777777" w:rsidR="00E24D3A" w:rsidRDefault="00E24D3A">
      <w:pPr>
        <w:rPr>
          <w:rFonts w:eastAsia="黑体"/>
          <w:sz w:val="24"/>
        </w:rPr>
      </w:pPr>
    </w:p>
    <w:p w14:paraId="11C88184" w14:textId="77777777" w:rsidR="00E24D3A" w:rsidRDefault="00E24D3A">
      <w:pPr>
        <w:rPr>
          <w:rFonts w:eastAsia="黑体"/>
          <w:sz w:val="24"/>
        </w:rPr>
      </w:pPr>
    </w:p>
    <w:p w14:paraId="04D365C4" w14:textId="77777777" w:rsidR="00E24D3A" w:rsidRDefault="00E24D3A">
      <w:pPr>
        <w:rPr>
          <w:rFonts w:eastAsia="黑体"/>
          <w:sz w:val="24"/>
        </w:rPr>
      </w:pPr>
    </w:p>
    <w:p w14:paraId="6F33958B" w14:textId="77777777" w:rsidR="00E24D3A" w:rsidRDefault="00E24D3A">
      <w:pPr>
        <w:rPr>
          <w:rFonts w:eastAsia="黑体"/>
          <w:sz w:val="24"/>
        </w:rPr>
      </w:pPr>
    </w:p>
    <w:p w14:paraId="678B50E9" w14:textId="77777777" w:rsidR="007530AF" w:rsidRDefault="007530AF">
      <w:pPr>
        <w:rPr>
          <w:rFonts w:eastAsia="黑体"/>
          <w:sz w:val="24"/>
        </w:rPr>
      </w:pPr>
      <w:r>
        <w:rPr>
          <w:rFonts w:eastAsia="黑体" w:hint="eastAsia"/>
          <w:sz w:val="24"/>
        </w:rPr>
        <w:lastRenderedPageBreak/>
        <w:t>3</w:t>
      </w:r>
      <w:r>
        <w:rPr>
          <w:rFonts w:eastAsia="黑体" w:hint="eastAsia"/>
          <w:sz w:val="24"/>
        </w:rPr>
        <w:t>．研究内容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7"/>
      </w:tblGrid>
      <w:tr w:rsidR="007530AF" w14:paraId="1572B9E0" w14:textId="77777777">
        <w:trPr>
          <w:trHeight w:val="13361"/>
        </w:trPr>
        <w:tc>
          <w:tcPr>
            <w:tcW w:w="8387" w:type="dxa"/>
            <w:tcBorders>
              <w:top w:val="single" w:sz="12" w:space="0" w:color="auto"/>
              <w:left w:val="single" w:sz="12" w:space="0" w:color="auto"/>
              <w:bottom w:val="single" w:sz="12" w:space="0" w:color="auto"/>
              <w:right w:val="single" w:sz="12" w:space="0" w:color="auto"/>
            </w:tcBorders>
          </w:tcPr>
          <w:p w14:paraId="66ABF5F9" w14:textId="77777777" w:rsidR="007530AF" w:rsidRDefault="007530AF">
            <w:pPr>
              <w:spacing w:before="120"/>
              <w:rPr>
                <w:rFonts w:ascii="黑体" w:eastAsia="黑体"/>
                <w:sz w:val="24"/>
              </w:rPr>
            </w:pPr>
            <w:r>
              <w:rPr>
                <w:rFonts w:ascii="黑体" w:eastAsia="黑体" w:hAnsi="黑体"/>
                <w:sz w:val="24"/>
              </w:rPr>
              <w:t>本课题的研究内容包括以下三个相互衔接的部分：</w:t>
            </w:r>
          </w:p>
          <w:p w14:paraId="6E0850E8" w14:textId="77777777" w:rsidR="007530AF" w:rsidRDefault="007530AF" w:rsidP="00D274D7">
            <w:pPr>
              <w:spacing w:before="120"/>
              <w:ind w:firstLineChars="150" w:firstLine="360"/>
              <w:rPr>
                <w:rFonts w:ascii="黑体" w:eastAsia="黑体"/>
                <w:sz w:val="24"/>
              </w:rPr>
            </w:pPr>
            <w:r>
              <w:rPr>
                <w:rFonts w:ascii="黑体" w:eastAsia="黑体" w:hAnsi="黑体"/>
                <w:sz w:val="24"/>
              </w:rPr>
              <w:t>（1）扩展马尔可夫决策过程建模。在单源、需求平稳的全有或全无良率库存基准问题之上，引入服从正弦周期波动的季节性需求过程与零提前期应急采购渠道，构造时间感知的状态空间（动态目标库存、在途订单队列、周期相位编码与规划期进度编码）与二维动作空间（常规渠道订货量、应急渠道订货量），给出单期成本函数与有限期折扣成本目标函数，并从理论上证明扩充后的状态空间恢复马尔可夫性。</w:t>
            </w:r>
          </w:p>
          <w:p w14:paraId="5014D35C" w14:textId="0C427591" w:rsidR="0000439A" w:rsidRDefault="005E0DBD" w:rsidP="00D274D7">
            <w:pPr>
              <w:ind w:firstLineChars="150" w:firstLine="360"/>
            </w:pPr>
            <w:r>
              <w:rPr>
                <w:rFonts w:ascii="黑体" w:eastAsia="黑体" w:hAnsi="黑体"/>
                <w:sz w:val="24"/>
              </w:rPr>
              <w:t>（2）启发式基准与深度强化学习求解架构设计。构建常规渠道的线性膨胀规则（LIR）、加权报童启发式（WNH）与应急渠道报童基线（NV），并提出二者联合的双源启发式教师（HEUR）；在此基础上设计融合启发式先验的单智能体双输出网络架构——常规渠道输出锚定于加权报童启发式的路径权重邻域，应急渠道输出锚定于报童安全</w:t>
            </w:r>
            <w:r w:rsidR="00300FF0">
              <w:rPr>
                <w:rFonts w:ascii="黑体" w:eastAsia="黑体" w:hAnsi="黑体" w:hint="eastAsia"/>
                <w:sz w:val="24"/>
              </w:rPr>
              <w:t>库存</w:t>
            </w:r>
            <w:r>
              <w:rPr>
                <w:rFonts w:ascii="黑体" w:eastAsia="黑体" w:hAnsi="黑体"/>
                <w:sz w:val="24"/>
              </w:rPr>
              <w:t>邻域，并给出相对指数损失训练算法与同种子蒙特卡洛评估协议。</w:t>
            </w:r>
          </w:p>
          <w:p w14:paraId="49FD4CA9" w14:textId="77777777" w:rsidR="0000439A" w:rsidRDefault="005E0DBD" w:rsidP="00D274D7">
            <w:pPr>
              <w:ind w:firstLineChars="150" w:firstLine="360"/>
            </w:pPr>
            <w:r>
              <w:rPr>
                <w:rFonts w:ascii="黑体" w:eastAsia="黑体" w:hAnsi="黑体"/>
                <w:sz w:val="24"/>
              </w:rPr>
              <w:t>（3）数值实验与机理分析。在覆盖季节振幅、良率、服务水平、规划期、应急成本等维度的参数网格上，对比所提方法与启发式基准的性能表现；通过逐期决策轨迹分析揭示学习策略的协同机制；通过消融实验分离时间感知状态设计、教师锚定约束等关键组件各自的贡献，界定其在不同非平稳程度下的价值边界，并据此提炼面向企业的管理启示。</w:t>
            </w:r>
          </w:p>
        </w:tc>
      </w:tr>
    </w:tbl>
    <w:p w14:paraId="6D518EFA" w14:textId="77777777" w:rsidR="007530AF" w:rsidRDefault="007530AF">
      <w:pPr>
        <w:rPr>
          <w:rFonts w:eastAsia="黑体"/>
          <w:b/>
          <w:sz w:val="24"/>
        </w:rPr>
      </w:pPr>
      <w:r>
        <w:rPr>
          <w:rFonts w:eastAsia="黑体" w:hint="eastAsia"/>
          <w:sz w:val="24"/>
        </w:rPr>
        <w:lastRenderedPageBreak/>
        <w:t>4</w:t>
      </w:r>
      <w:r w:rsidR="00E16FE9">
        <w:rPr>
          <w:rFonts w:eastAsia="黑体" w:hint="eastAsia"/>
          <w:sz w:val="24"/>
        </w:rPr>
        <w:t>．研究</w:t>
      </w:r>
      <w:r w:rsidR="00E16FE9">
        <w:rPr>
          <w:rFonts w:eastAsia="黑体"/>
          <w:sz w:val="24"/>
        </w:rPr>
        <w:t>方法及技术路线</w:t>
      </w:r>
      <w:r>
        <w:rPr>
          <w:rFonts w:eastAsia="黑体" w:hint="eastAsia"/>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7530AF" w14:paraId="5CB8853F" w14:textId="77777777">
        <w:trPr>
          <w:trHeight w:val="13206"/>
        </w:trPr>
        <w:tc>
          <w:tcPr>
            <w:tcW w:w="8522" w:type="dxa"/>
            <w:tcBorders>
              <w:top w:val="single" w:sz="12" w:space="0" w:color="auto"/>
              <w:left w:val="single" w:sz="12" w:space="0" w:color="auto"/>
              <w:bottom w:val="single" w:sz="12" w:space="0" w:color="auto"/>
              <w:right w:val="single" w:sz="12" w:space="0" w:color="auto"/>
            </w:tcBorders>
          </w:tcPr>
          <w:p w14:paraId="6CE70D65" w14:textId="77777777" w:rsidR="007530AF" w:rsidRDefault="00E16FE9">
            <w:pPr>
              <w:spacing w:before="120"/>
              <w:rPr>
                <w:rFonts w:ascii="黑体" w:eastAsia="黑体"/>
                <w:sz w:val="24"/>
              </w:rPr>
            </w:pPr>
            <w:r>
              <w:rPr>
                <w:rFonts w:ascii="黑体" w:eastAsia="黑体" w:hint="eastAsia"/>
                <w:sz w:val="24"/>
              </w:rPr>
              <w:t>1）</w:t>
            </w:r>
            <w:r>
              <w:rPr>
                <w:rFonts w:ascii="黑体" w:eastAsia="黑体"/>
                <w:sz w:val="24"/>
              </w:rPr>
              <w:t>研究方法</w:t>
            </w:r>
          </w:p>
          <w:p w14:paraId="76F9D034" w14:textId="42AEBEE7" w:rsidR="007530AF" w:rsidRDefault="00E16FE9" w:rsidP="00D274D7">
            <w:pPr>
              <w:spacing w:before="120"/>
              <w:ind w:firstLineChars="200" w:firstLine="480"/>
              <w:rPr>
                <w:rFonts w:ascii="黑体" w:eastAsia="黑体"/>
                <w:sz w:val="24"/>
              </w:rPr>
            </w:pPr>
            <w:r>
              <w:rPr>
                <w:rFonts w:ascii="黑体" w:eastAsia="黑体" w:hAnsi="黑体"/>
                <w:sz w:val="24"/>
              </w:rPr>
              <w:t>本课题拟采用文献研究法、数学建模法、</w:t>
            </w:r>
            <w:r w:rsidR="000A64C8">
              <w:rPr>
                <w:rFonts w:ascii="黑体" w:eastAsia="黑体" w:hAnsi="黑体" w:hint="eastAsia"/>
                <w:sz w:val="24"/>
              </w:rPr>
              <w:t>深度强化学习</w:t>
            </w:r>
            <w:r w:rsidR="00546F9B">
              <w:rPr>
                <w:rFonts w:ascii="黑体" w:eastAsia="黑体" w:hAnsi="黑体" w:hint="eastAsia"/>
                <w:sz w:val="24"/>
              </w:rPr>
              <w:t>建模与训练法、</w:t>
            </w:r>
            <w:r>
              <w:rPr>
                <w:rFonts w:ascii="黑体" w:eastAsia="黑体" w:hAnsi="黑体" w:hint="eastAsia"/>
                <w:sz w:val="24"/>
              </w:rPr>
              <w:t>仿</w:t>
            </w:r>
            <w:r>
              <w:rPr>
                <w:rFonts w:ascii="黑体" w:eastAsia="黑体" w:hAnsi="黑体"/>
                <w:sz w:val="24"/>
              </w:rPr>
              <w:t>真实验法与对比分析法相结合的研究方法。文献研究法用于系统梳理随机良率库存、双源采购、深度强化学习库存管理与非平稳强化学习的国内外研究现状，明确本课题的理论定位；数学建模法用于建立扩展马尔可夫决策过程的状态、动作、成本与目标函数的形式化表达；</w:t>
            </w:r>
            <w:r w:rsidR="00546F9B">
              <w:rPr>
                <w:rFonts w:ascii="黑体" w:eastAsia="黑体" w:hAnsi="黑体" w:hint="eastAsia"/>
                <w:sz w:val="24"/>
              </w:rPr>
              <w:t>深度强化学习建模与训练法用于设计融合启发式先验的神经网络策略架构，并基于同种子蒙特卡洛协议完成训练与收敛性验证；</w:t>
            </w:r>
            <w:r>
              <w:rPr>
                <w:rFonts w:ascii="黑体" w:eastAsia="黑体" w:hAnsi="黑体"/>
                <w:sz w:val="24"/>
              </w:rPr>
              <w:t>仿真实验法用于在 Python 环境下构建仿真环境并训练深度强化学习策略；对比分析法用于在统一的同种子协议下比较所提方法与多个启发式基准的性能差异，并通过消融实验分离各设计要素的独立贡献。</w:t>
            </w:r>
          </w:p>
          <w:p w14:paraId="68B5461C" w14:textId="77777777" w:rsidR="00E16FE9" w:rsidRDefault="00E16FE9">
            <w:pPr>
              <w:spacing w:before="120"/>
              <w:rPr>
                <w:rFonts w:ascii="黑体" w:eastAsia="黑体"/>
                <w:sz w:val="24"/>
              </w:rPr>
            </w:pPr>
            <w:r>
              <w:rPr>
                <w:rFonts w:ascii="黑体" w:eastAsia="黑体" w:hint="eastAsia"/>
                <w:sz w:val="24"/>
              </w:rPr>
              <w:t>2）技术</w:t>
            </w:r>
            <w:r>
              <w:rPr>
                <w:rFonts w:ascii="黑体" w:eastAsia="黑体"/>
                <w:sz w:val="24"/>
              </w:rPr>
              <w:t>路线</w:t>
            </w:r>
          </w:p>
          <w:p w14:paraId="0D4F9DAE" w14:textId="77777777" w:rsidR="00E16FE9" w:rsidRDefault="00E16FE9" w:rsidP="00D274D7">
            <w:pPr>
              <w:spacing w:before="120"/>
              <w:ind w:firstLineChars="200" w:firstLine="480"/>
              <w:rPr>
                <w:rFonts w:ascii="黑体" w:eastAsia="黑体"/>
                <w:sz w:val="24"/>
              </w:rPr>
            </w:pPr>
            <w:r>
              <w:rPr>
                <w:rFonts w:ascii="黑体" w:eastAsia="黑体" w:hAnsi="黑体"/>
                <w:sz w:val="24"/>
              </w:rPr>
              <w:t>本课题的技术路线依次为：①文献调研与问题定义——系统梳理相关文献，明确研究缺口与问题边界；②扩展马尔可夫决策过程建模——确定状态、动作、随机过程与成本函数的具体形式，论证马尔可夫性；③启发式基准与深度强化学习架构实现——基于</w:t>
            </w:r>
            <w:proofErr w:type="spellStart"/>
            <w:r>
              <w:rPr>
                <w:rFonts w:ascii="黑体" w:eastAsia="黑体" w:hAnsi="黑体"/>
                <w:sz w:val="24"/>
              </w:rPr>
              <w:t>PyTorch</w:t>
            </w:r>
            <w:proofErr w:type="spellEnd"/>
            <w:r>
              <w:rPr>
                <w:rFonts w:ascii="黑体" w:eastAsia="黑体" w:hAnsi="黑体"/>
                <w:sz w:val="24"/>
              </w:rPr>
              <w:t xml:space="preserve"> 实现常规/应急渠道的网络输出模块与训练算法；④全参数网格实验——在覆盖主要参数维度的网格上批量训练与评估，产出可复现的实验数据；⑤消融实验与机理分析——通过屏蔽/冻结关键组件的对照实验，检验各设计要素的独立贡献；⑥论文撰写与答辩准备——整理建模推导、实验结果与管理启示，形成学位论文。</w:t>
            </w:r>
          </w:p>
          <w:p w14:paraId="4260D934" w14:textId="77777777" w:rsidR="00E16FE9" w:rsidRDefault="00E16FE9">
            <w:pPr>
              <w:spacing w:before="120"/>
              <w:rPr>
                <w:rFonts w:ascii="黑体" w:eastAsia="黑体"/>
                <w:sz w:val="24"/>
              </w:rPr>
            </w:pPr>
            <w:r>
              <w:rPr>
                <w:rFonts w:ascii="黑体" w:eastAsia="黑体" w:hint="eastAsia"/>
                <w:sz w:val="24"/>
              </w:rPr>
              <w:t>3）关键</w:t>
            </w:r>
            <w:r>
              <w:rPr>
                <w:rFonts w:ascii="黑体" w:eastAsia="黑体"/>
                <w:sz w:val="24"/>
              </w:rPr>
              <w:t>技术</w:t>
            </w:r>
            <w:r>
              <w:rPr>
                <w:rFonts w:ascii="黑体" w:eastAsia="黑体" w:hint="eastAsia"/>
                <w:sz w:val="24"/>
              </w:rPr>
              <w:t>或</w:t>
            </w:r>
            <w:r>
              <w:rPr>
                <w:rFonts w:ascii="黑体" w:eastAsia="黑体"/>
                <w:sz w:val="24"/>
              </w:rPr>
              <w:t>难点</w:t>
            </w:r>
          </w:p>
          <w:p w14:paraId="18797430" w14:textId="77777777" w:rsidR="00E16FE9" w:rsidRDefault="00E16FE9" w:rsidP="00D274D7">
            <w:pPr>
              <w:spacing w:before="120"/>
              <w:ind w:firstLineChars="200" w:firstLine="480"/>
              <w:rPr>
                <w:rFonts w:ascii="黑体" w:eastAsia="黑体"/>
                <w:sz w:val="24"/>
              </w:rPr>
            </w:pPr>
            <w:r>
              <w:rPr>
                <w:rFonts w:ascii="黑体" w:eastAsia="黑体" w:hAnsi="黑体"/>
                <w:sz w:val="24"/>
              </w:rPr>
              <w:t>本课题的关键技术或难点包括：其一，如何在非平稳需求下设计既满足马尔可夫性、又便于神经网络学习利用的时间编码方案；其二，如何在双渠道联合动作空间下设计训练稳定、兼顾探索与先验约束的网络架构与损失函数，避免高维非凸优化带来的训练不稳定问题；其三，全参数网格与消融实验涉及数十组参数组合、每组需多次独立重启训练，计算量较大，需要合理设计并行化与断点续跑机制以保证实验在既定周期内可完成。</w:t>
            </w:r>
          </w:p>
          <w:p w14:paraId="066B162E" w14:textId="77777777" w:rsidR="009C6FD2" w:rsidRDefault="009C6FD2">
            <w:pPr>
              <w:spacing w:before="120"/>
              <w:rPr>
                <w:rFonts w:ascii="黑体" w:eastAsia="黑体"/>
                <w:sz w:val="24"/>
              </w:rPr>
            </w:pPr>
            <w:r>
              <w:rPr>
                <w:rFonts w:ascii="黑体" w:eastAsia="黑体" w:hint="eastAsia"/>
                <w:sz w:val="24"/>
              </w:rPr>
              <w:t>4）创新点</w:t>
            </w:r>
          </w:p>
          <w:p w14:paraId="6DF2A421" w14:textId="77777777" w:rsidR="00A917DE" w:rsidRDefault="009C6FD2" w:rsidP="00A917DE">
            <w:pPr>
              <w:spacing w:before="120"/>
              <w:ind w:firstLineChars="200" w:firstLine="480"/>
              <w:rPr>
                <w:rFonts w:ascii="黑体" w:eastAsia="黑体" w:hAnsi="黑体"/>
                <w:sz w:val="24"/>
              </w:rPr>
            </w:pPr>
            <w:r>
              <w:rPr>
                <w:rFonts w:ascii="黑体" w:eastAsia="黑体" w:hAnsi="黑体"/>
                <w:sz w:val="24"/>
              </w:rPr>
              <w:t>本课题的创新点在于：</w:t>
            </w:r>
          </w:p>
          <w:p w14:paraId="1DCB148D" w14:textId="44DE845A" w:rsidR="00A917DE" w:rsidRDefault="009C6FD2" w:rsidP="00A917DE">
            <w:pPr>
              <w:spacing w:before="120"/>
              <w:ind w:firstLineChars="200" w:firstLine="480"/>
              <w:rPr>
                <w:rFonts w:ascii="黑体" w:eastAsia="黑体" w:hAnsi="黑体"/>
                <w:sz w:val="24"/>
              </w:rPr>
            </w:pPr>
            <w:r>
              <w:rPr>
                <w:rFonts w:ascii="黑体" w:eastAsia="黑体" w:hAnsi="黑体"/>
                <w:sz w:val="24"/>
              </w:rPr>
              <w:t>（1）将双源采购与季节性非平稳需求同时纳入全有或全无良率库存问题的统一建模框架，突破了现有文献单源、平稳需求的假设局限；</w:t>
            </w:r>
          </w:p>
          <w:p w14:paraId="3D22BA0A" w14:textId="77777777" w:rsidR="00A917DE" w:rsidRDefault="009C6FD2" w:rsidP="00A917DE">
            <w:pPr>
              <w:spacing w:before="120"/>
              <w:ind w:firstLineChars="200" w:firstLine="480"/>
              <w:rPr>
                <w:rFonts w:ascii="黑体" w:eastAsia="黑体" w:hAnsi="黑体"/>
                <w:sz w:val="24"/>
              </w:rPr>
            </w:pPr>
            <w:r>
              <w:rPr>
                <w:rFonts w:ascii="黑体" w:eastAsia="黑体" w:hAnsi="黑体"/>
                <w:sz w:val="24"/>
              </w:rPr>
              <w:t>（2）提出兼顾信息完备性与可学习性的时间感知状态设计，并给出其恢复马尔可夫性的理论论证；</w:t>
            </w:r>
          </w:p>
          <w:p w14:paraId="7B46856F" w14:textId="278841C5" w:rsidR="00A917DE" w:rsidRDefault="009C6FD2" w:rsidP="00A917DE">
            <w:pPr>
              <w:spacing w:before="120"/>
              <w:ind w:firstLineChars="200" w:firstLine="480"/>
              <w:rPr>
                <w:rFonts w:ascii="黑体" w:eastAsia="黑体" w:hAnsi="黑体"/>
                <w:sz w:val="24"/>
              </w:rPr>
            </w:pPr>
            <w:r>
              <w:rPr>
                <w:rFonts w:ascii="黑体" w:eastAsia="黑体" w:hAnsi="黑体"/>
                <w:sz w:val="24"/>
              </w:rPr>
              <w:t>（3）提出融合双重启发式先验的单智能体双输出深度强化学习架构，将权重邻域约束形式化为能量归一化规则</w:t>
            </w:r>
            <w:r w:rsidR="00A917DE">
              <w:rPr>
                <w:rFonts w:ascii="黑体" w:eastAsia="黑体" w:hAnsi="黑体" w:hint="eastAsia"/>
                <w:sz w:val="24"/>
              </w:rPr>
              <w:t>。</w:t>
            </w:r>
          </w:p>
          <w:p w14:paraId="553E93CA" w14:textId="0E7489A5" w:rsidR="009C6FD2" w:rsidRDefault="009C6FD2" w:rsidP="00D274D7">
            <w:pPr>
              <w:spacing w:before="120"/>
              <w:ind w:firstLineChars="200" w:firstLine="480"/>
              <w:rPr>
                <w:rFonts w:ascii="黑体" w:eastAsia="黑体"/>
                <w:sz w:val="24"/>
              </w:rPr>
            </w:pPr>
          </w:p>
        </w:tc>
      </w:tr>
    </w:tbl>
    <w:p w14:paraId="2DDCAC10" w14:textId="77777777" w:rsidR="00AF14A4" w:rsidRDefault="00AF14A4">
      <w:pPr>
        <w:rPr>
          <w:rFonts w:eastAsia="黑体"/>
          <w:sz w:val="24"/>
        </w:rPr>
        <w:sectPr w:rsidR="00AF14A4" w:rsidSect="00AF14A4">
          <w:footerReference w:type="default" r:id="rId10"/>
          <w:footerReference w:type="first" r:id="rId11"/>
          <w:pgSz w:w="11906" w:h="16838"/>
          <w:pgMar w:top="1418" w:right="1797" w:bottom="1418" w:left="1797" w:header="851" w:footer="992" w:gutter="0"/>
          <w:cols w:space="720"/>
          <w:titlePg/>
          <w:docGrid w:type="lines" w:linePitch="312"/>
        </w:sectPr>
      </w:pPr>
    </w:p>
    <w:p w14:paraId="05C1A40E" w14:textId="77777777" w:rsidR="007530AF" w:rsidRDefault="009E02A0">
      <w:pPr>
        <w:rPr>
          <w:rFonts w:eastAsia="黑体"/>
          <w:b/>
          <w:sz w:val="24"/>
        </w:rPr>
      </w:pPr>
      <w:r>
        <w:rPr>
          <w:rFonts w:eastAsia="黑体" w:hint="eastAsia"/>
          <w:sz w:val="24"/>
        </w:rPr>
        <w:lastRenderedPageBreak/>
        <w:t>5</w:t>
      </w:r>
      <w:r w:rsidR="00E029C7">
        <w:rPr>
          <w:rFonts w:eastAsia="黑体" w:hint="eastAsia"/>
          <w:sz w:val="24"/>
        </w:rPr>
        <w:t>．可行性</w:t>
      </w:r>
      <w:r w:rsidR="00E029C7">
        <w:rPr>
          <w:rFonts w:eastAsia="黑体"/>
          <w:sz w:val="24"/>
        </w:rPr>
        <w:t>分析与研究基础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7530AF" w14:paraId="5435DEF3" w14:textId="77777777">
        <w:trPr>
          <w:trHeight w:val="13206"/>
        </w:trPr>
        <w:tc>
          <w:tcPr>
            <w:tcW w:w="8522" w:type="dxa"/>
            <w:tcBorders>
              <w:top w:val="single" w:sz="12" w:space="0" w:color="auto"/>
              <w:left w:val="single" w:sz="12" w:space="0" w:color="auto"/>
              <w:bottom w:val="single" w:sz="12" w:space="0" w:color="auto"/>
              <w:right w:val="single" w:sz="12" w:space="0" w:color="auto"/>
            </w:tcBorders>
          </w:tcPr>
          <w:p w14:paraId="70BF5013" w14:textId="77777777" w:rsidR="007530AF" w:rsidRDefault="00196594">
            <w:pPr>
              <w:spacing w:before="120"/>
              <w:rPr>
                <w:rFonts w:ascii="黑体" w:eastAsia="黑体"/>
                <w:sz w:val="24"/>
              </w:rPr>
            </w:pPr>
            <w:r>
              <w:rPr>
                <w:rFonts w:ascii="黑体" w:eastAsia="黑体" w:hint="eastAsia"/>
                <w:sz w:val="24"/>
              </w:rPr>
              <w:t>1）</w:t>
            </w:r>
            <w:r>
              <w:rPr>
                <w:rFonts w:ascii="黑体" w:eastAsia="黑体"/>
                <w:sz w:val="24"/>
              </w:rPr>
              <w:t>可行性分析</w:t>
            </w:r>
          </w:p>
          <w:p w14:paraId="6A2A08A0"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理论可行性方面，本课题建立在成熟的马尔可夫决策过程理论、随机库存理论与深度强化学习方法之上，所涉及的状态扩充、教师锚定、相对指数损失等技术手段均有可借鉴的文献基础，理论路径清晰可行。</w:t>
            </w:r>
          </w:p>
          <w:p w14:paraId="4D7B99FC"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 xml:space="preserve">技术可行性方面，本课题所需的仿真环境、启发式基准与深度强化学习网络均可基于 Python 与 </w:t>
            </w:r>
            <w:proofErr w:type="spellStart"/>
            <w:r>
              <w:rPr>
                <w:rFonts w:ascii="黑体" w:eastAsia="黑体" w:hAnsi="黑体"/>
                <w:sz w:val="24"/>
              </w:rPr>
              <w:t>PyTorch</w:t>
            </w:r>
            <w:proofErr w:type="spellEnd"/>
            <w:r>
              <w:rPr>
                <w:rFonts w:ascii="黑体" w:eastAsia="黑体" w:hAnsi="黑体"/>
                <w:sz w:val="24"/>
              </w:rPr>
              <w:t xml:space="preserve"> 实现，相关开发与调试工作已在前期研究中初步完成（见“研究基础”）。</w:t>
            </w:r>
          </w:p>
          <w:p w14:paraId="3B62A1EF"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数据可行性方面，本课题的数值实验基于仿真数据而非真实企业数据，可通过设定合理的需求、良率与成本参数自主生成，不存在数据获取障碍。</w:t>
            </w:r>
          </w:p>
          <w:p w14:paraId="766FE26F" w14:textId="19CF28F3" w:rsidR="007530AF" w:rsidRDefault="00196594" w:rsidP="00D274D7">
            <w:pPr>
              <w:spacing w:before="120"/>
              <w:ind w:firstLineChars="200" w:firstLine="480"/>
              <w:rPr>
                <w:rFonts w:ascii="黑体" w:eastAsia="黑体"/>
                <w:sz w:val="24"/>
              </w:rPr>
            </w:pPr>
            <w:r>
              <w:rPr>
                <w:rFonts w:ascii="黑体" w:eastAsia="黑体" w:hAnsi="黑体"/>
                <w:sz w:val="24"/>
              </w:rPr>
              <w:t>时间可行性方面，本课题研究进度已按阶段合理分解（见“研究进度”），10 个月的研究周期能够覆盖建模、算法实现、实验验证与论文撰写各阶段的工作量。</w:t>
            </w:r>
          </w:p>
          <w:p w14:paraId="3D4EADFE" w14:textId="77777777" w:rsidR="00196594" w:rsidRDefault="00196594">
            <w:pPr>
              <w:spacing w:before="120"/>
              <w:rPr>
                <w:rFonts w:ascii="黑体" w:eastAsia="黑体"/>
                <w:sz w:val="24"/>
              </w:rPr>
            </w:pPr>
            <w:r>
              <w:rPr>
                <w:rFonts w:ascii="黑体" w:eastAsia="黑体" w:hint="eastAsia"/>
                <w:sz w:val="24"/>
              </w:rPr>
              <w:t>2）</w:t>
            </w:r>
            <w:r>
              <w:rPr>
                <w:rFonts w:ascii="黑体" w:eastAsia="黑体"/>
                <w:sz w:val="24"/>
              </w:rPr>
              <w:t>研究基础</w:t>
            </w:r>
          </w:p>
          <w:p w14:paraId="42A015FC"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本人在前期研究中已完成以下基础性工作：</w:t>
            </w:r>
          </w:p>
          <w:p w14:paraId="2B236072"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（1）已系统复现随机良率库存基准问题的仿真环境与线性膨胀规则、加权报童启发式等基准策略的代码实现；</w:t>
            </w:r>
          </w:p>
          <w:p w14:paraId="0344C038"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（2）已初步搭建季节性非平稳需求扩展与双源采购扩展两套仿真环境，并设计了融合启发式先验的单智能体双输出网络架构原型；</w:t>
            </w:r>
          </w:p>
          <w:p w14:paraId="2787131E" w14:textId="77777777" w:rsidR="00A917DE" w:rsidRDefault="00196594" w:rsidP="00A917DE">
            <w:pPr>
              <w:spacing w:before="120"/>
              <w:ind w:firstLineChars="200" w:firstLine="480"/>
              <w:rPr>
                <w:rFonts w:ascii="黑体" w:eastAsia="黑体" w:hAnsi="黑体"/>
                <w:sz w:val="24"/>
              </w:rPr>
            </w:pPr>
            <w:r>
              <w:rPr>
                <w:rFonts w:ascii="黑体" w:eastAsia="黑体" w:hAnsi="黑体"/>
                <w:sz w:val="24"/>
              </w:rPr>
              <w:t>（3）已在部分参数组合下完成初步的训练与评估，结果显示所提方法相对启发式基准具有稳定的成本优势；</w:t>
            </w:r>
          </w:p>
          <w:p w14:paraId="0E75B1E2" w14:textId="7F8EE228" w:rsidR="00196594" w:rsidRDefault="00196594" w:rsidP="00D274D7">
            <w:pPr>
              <w:spacing w:before="120"/>
              <w:ind w:firstLineChars="200" w:firstLine="480"/>
              <w:rPr>
                <w:rFonts w:ascii="黑体" w:eastAsia="黑体"/>
                <w:sz w:val="24"/>
              </w:rPr>
            </w:pPr>
            <w:r>
              <w:rPr>
                <w:rFonts w:ascii="黑体" w:eastAsia="黑体" w:hAnsi="黑体"/>
                <w:sz w:val="24"/>
              </w:rPr>
              <w:t>（4）已系统阅读随机良率库存、双源采购与深度强化学习库存管理领域的中外文文献，形成了较为完整的文献图谱与问题定位。上述前期工作为本课题后续的全面建模、系统化实验与论文撰写奠定了良好基础。</w:t>
            </w:r>
          </w:p>
        </w:tc>
      </w:tr>
    </w:tbl>
    <w:p w14:paraId="31B704CB" w14:textId="77777777" w:rsidR="00AF14A4" w:rsidRDefault="00AF14A4">
      <w:pPr>
        <w:rPr>
          <w:rFonts w:eastAsia="黑体"/>
          <w:sz w:val="24"/>
        </w:rPr>
        <w:sectPr w:rsidR="00AF14A4" w:rsidSect="00AF14A4">
          <w:footerReference w:type="default" r:id="rId12"/>
          <w:footerReference w:type="first" r:id="rId13"/>
          <w:pgSz w:w="11906" w:h="16838"/>
          <w:pgMar w:top="1418" w:right="1797" w:bottom="1418" w:left="1797" w:header="851" w:footer="992" w:gutter="0"/>
          <w:cols w:space="720"/>
          <w:titlePg/>
          <w:docGrid w:type="lines" w:linePitch="312"/>
        </w:sectPr>
      </w:pPr>
    </w:p>
    <w:p w14:paraId="553FA488" w14:textId="77777777" w:rsidR="007530AF" w:rsidRDefault="009E02A0">
      <w:pPr>
        <w:rPr>
          <w:rFonts w:eastAsia="黑体"/>
          <w:sz w:val="24"/>
        </w:rPr>
      </w:pPr>
      <w:r>
        <w:rPr>
          <w:rFonts w:eastAsia="黑体" w:hint="eastAsia"/>
          <w:sz w:val="24"/>
        </w:rPr>
        <w:lastRenderedPageBreak/>
        <w:t>6</w:t>
      </w:r>
      <w:r w:rsidR="00E029C7">
        <w:rPr>
          <w:rFonts w:eastAsia="黑体" w:hint="eastAsia"/>
          <w:sz w:val="24"/>
        </w:rPr>
        <w:t>．预期</w:t>
      </w:r>
      <w:r w:rsidR="00E029C7">
        <w:rPr>
          <w:rFonts w:eastAsia="黑体"/>
          <w:sz w:val="24"/>
        </w:rPr>
        <w:t>成果</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8522"/>
      </w:tblGrid>
      <w:tr w:rsidR="007530AF" w14:paraId="1D8BA280" w14:textId="77777777">
        <w:trPr>
          <w:trHeight w:val="13050"/>
        </w:trPr>
        <w:tc>
          <w:tcPr>
            <w:tcW w:w="8522" w:type="dxa"/>
          </w:tcPr>
          <w:p w14:paraId="714216D9" w14:textId="77777777" w:rsidR="00A917DE" w:rsidRDefault="007530AF" w:rsidP="00A917DE">
            <w:pPr>
              <w:ind w:firstLineChars="200" w:firstLine="480"/>
              <w:rPr>
                <w:rFonts w:ascii="黑体" w:eastAsia="黑体" w:hAnsi="黑体"/>
                <w:sz w:val="24"/>
              </w:rPr>
            </w:pPr>
            <w:r>
              <w:rPr>
                <w:rFonts w:ascii="黑体" w:eastAsia="黑体" w:hAnsi="黑体"/>
                <w:sz w:val="24"/>
              </w:rPr>
              <w:t>本课题预期取得以下成果：</w:t>
            </w:r>
          </w:p>
          <w:p w14:paraId="5CC48A08" w14:textId="77777777" w:rsidR="00A917DE" w:rsidRDefault="007530AF" w:rsidP="00D274D7">
            <w:pPr>
              <w:ind w:firstLineChars="150" w:firstLine="360"/>
              <w:rPr>
                <w:rFonts w:ascii="黑体" w:eastAsia="黑体" w:hAnsi="黑体"/>
                <w:sz w:val="24"/>
              </w:rPr>
            </w:pPr>
            <w:r>
              <w:rPr>
                <w:rFonts w:ascii="黑体" w:eastAsia="黑体" w:hAnsi="黑体"/>
                <w:sz w:val="24"/>
              </w:rPr>
              <w:t>（1）</w:t>
            </w:r>
            <w:r w:rsidR="00300FF0">
              <w:rPr>
                <w:rFonts w:ascii="黑体" w:eastAsia="黑体" w:hAnsi="黑体" w:hint="eastAsia"/>
                <w:sz w:val="24"/>
              </w:rPr>
              <w:t>高质量</w:t>
            </w:r>
            <w:r>
              <w:rPr>
                <w:rFonts w:ascii="黑体" w:eastAsia="黑体" w:hAnsi="黑体"/>
                <w:sz w:val="24"/>
              </w:rPr>
              <w:t>完成一篇系统阐述扩展马尔可夫决策过程建模、求解方法与数值实验结果的硕士学位论文；</w:t>
            </w:r>
          </w:p>
          <w:p w14:paraId="7003D018" w14:textId="77777777" w:rsidR="00A917DE" w:rsidRDefault="00546F9B" w:rsidP="00D274D7">
            <w:pPr>
              <w:ind w:firstLineChars="150" w:firstLine="360"/>
              <w:rPr>
                <w:rFonts w:ascii="黑体" w:eastAsia="黑体" w:hAnsi="黑体"/>
                <w:sz w:val="24"/>
              </w:rPr>
            </w:pPr>
            <w:r>
              <w:rPr>
                <w:rFonts w:ascii="黑体" w:eastAsia="黑体" w:hAnsi="黑体"/>
                <w:sz w:val="24"/>
              </w:rPr>
              <w:t>（2）</w:t>
            </w:r>
            <w:r>
              <w:rPr>
                <w:rFonts w:ascii="黑体" w:eastAsia="黑体" w:hAnsi="黑体" w:hint="eastAsia"/>
                <w:sz w:val="24"/>
              </w:rPr>
              <w:t>训练得到一套面向季节性非平稳需求、全有或全无良率与双源采购耦合场景的深度强化学习进货策略——在传统动态规划等确定性优化方法因状态空间高维非凸、环境非平稳而难以稳定求解的情形下，该策略仍能通过与仿真环境的持续交互自适应学习出稳健的订货策略，形成一套可复现、可迁移部署的智能决策方法；</w:t>
            </w:r>
          </w:p>
          <w:p w14:paraId="56846373" w14:textId="77777777" w:rsidR="00A917DE" w:rsidRDefault="007530AF" w:rsidP="00D274D7">
            <w:pPr>
              <w:ind w:firstLineChars="150" w:firstLine="360"/>
              <w:rPr>
                <w:rFonts w:ascii="黑体" w:eastAsia="黑体" w:hAnsi="黑体"/>
                <w:sz w:val="24"/>
              </w:rPr>
            </w:pPr>
            <w:r>
              <w:rPr>
                <w:rFonts w:ascii="黑体" w:eastAsia="黑体" w:hAnsi="黑体" w:hint="eastAsia"/>
                <w:sz w:val="24"/>
              </w:rPr>
              <w:t>（</w:t>
            </w:r>
            <w:r w:rsidR="00546F9B">
              <w:rPr>
                <w:rFonts w:ascii="黑体" w:eastAsia="黑体" w:hAnsi="黑体" w:hint="eastAsia"/>
                <w:sz w:val="24"/>
              </w:rPr>
              <w:t>3</w:t>
            </w:r>
            <w:r>
              <w:rPr>
                <w:rFonts w:ascii="黑体" w:eastAsia="黑体" w:hAnsi="黑体"/>
                <w:sz w:val="24"/>
              </w:rPr>
              <w:t>）形成一套可复现的仿真实验代码与全参数网格实验数据集，涵盖季节性与双源两类扩展场景及消融实验结果；</w:t>
            </w:r>
          </w:p>
          <w:p w14:paraId="78354D28" w14:textId="77777777" w:rsidR="00A917DE" w:rsidRDefault="007530AF" w:rsidP="00D274D7">
            <w:pPr>
              <w:ind w:firstLineChars="150" w:firstLine="360"/>
              <w:rPr>
                <w:rFonts w:ascii="黑体" w:eastAsia="黑体" w:hAnsi="黑体"/>
                <w:sz w:val="24"/>
              </w:rPr>
            </w:pPr>
            <w:r>
              <w:rPr>
                <w:rFonts w:ascii="黑体" w:eastAsia="黑体" w:hAnsi="黑体"/>
                <w:sz w:val="24"/>
              </w:rPr>
              <w:t>（</w:t>
            </w:r>
            <w:r w:rsidR="00546F9B">
              <w:rPr>
                <w:rFonts w:ascii="黑体" w:eastAsia="黑体" w:hAnsi="黑体" w:hint="eastAsia"/>
                <w:sz w:val="24"/>
              </w:rPr>
              <w:t>4</w:t>
            </w:r>
            <w:r>
              <w:rPr>
                <w:rFonts w:ascii="黑体" w:eastAsia="黑体" w:hAnsi="黑体"/>
                <w:sz w:val="24"/>
              </w:rPr>
              <w:t>）凝练出面向医药</w:t>
            </w:r>
            <w:r w:rsidR="00300FF0">
              <w:rPr>
                <w:rFonts w:ascii="黑体" w:eastAsia="黑体" w:hAnsi="黑体" w:hint="eastAsia"/>
                <w:sz w:val="24"/>
              </w:rPr>
              <w:t>、化工</w:t>
            </w:r>
            <w:r>
              <w:rPr>
                <w:rFonts w:ascii="黑体" w:eastAsia="黑体" w:hAnsi="黑体"/>
                <w:sz w:val="24"/>
              </w:rPr>
              <w:t>等存在全有或全无良率风险、需求具有季节性企业的管理启示，包括动态目标库存与应急安全</w:t>
            </w:r>
            <w:r w:rsidR="00300FF0">
              <w:rPr>
                <w:rFonts w:ascii="黑体" w:eastAsia="黑体" w:hAnsi="黑体" w:hint="eastAsia"/>
                <w:sz w:val="24"/>
              </w:rPr>
              <w:t>库存</w:t>
            </w:r>
            <w:r>
              <w:rPr>
                <w:rFonts w:ascii="黑体" w:eastAsia="黑体" w:hAnsi="黑体" w:hint="eastAsia"/>
                <w:sz w:val="24"/>
              </w:rPr>
              <w:t>的</w:t>
            </w:r>
            <w:r>
              <w:rPr>
                <w:rFonts w:ascii="黑体" w:eastAsia="黑体" w:hAnsi="黑体"/>
                <w:sz w:val="24"/>
              </w:rPr>
              <w:t>具体计算方法；</w:t>
            </w:r>
          </w:p>
          <w:p w14:paraId="0597C582" w14:textId="2FE82738" w:rsidR="007530AF" w:rsidRDefault="007530AF" w:rsidP="00D274D7">
            <w:pPr>
              <w:ind w:firstLineChars="150" w:firstLine="360"/>
              <w:rPr>
                <w:rFonts w:eastAsia="黑体"/>
                <w:sz w:val="24"/>
              </w:rPr>
            </w:pPr>
            <w:r>
              <w:rPr>
                <w:rFonts w:ascii="黑体" w:eastAsia="黑体" w:hAnsi="黑体"/>
                <w:sz w:val="24"/>
              </w:rPr>
              <w:t>（</w:t>
            </w:r>
            <w:r w:rsidR="00546F9B">
              <w:rPr>
                <w:rFonts w:ascii="黑体" w:eastAsia="黑体" w:hAnsi="黑体" w:hint="eastAsia"/>
                <w:sz w:val="24"/>
              </w:rPr>
              <w:t>5</w:t>
            </w:r>
            <w:r>
              <w:rPr>
                <w:rFonts w:ascii="黑体" w:eastAsia="黑体" w:hAnsi="黑体"/>
                <w:sz w:val="24"/>
              </w:rPr>
              <w:t>）视研究进展情况，拟将部分研究成果整理投稿至</w:t>
            </w:r>
            <w:r w:rsidR="00300FF0">
              <w:rPr>
                <w:rFonts w:ascii="黑体" w:eastAsia="黑体" w:hAnsi="黑体" w:hint="eastAsia"/>
                <w:sz w:val="24"/>
              </w:rPr>
              <w:t>运筹学</w:t>
            </w:r>
            <w:r>
              <w:rPr>
                <w:rFonts w:ascii="黑体" w:eastAsia="黑体" w:hAnsi="黑体"/>
                <w:sz w:val="24"/>
              </w:rPr>
              <w:t>或工业工程相关学术期刊或会议。</w:t>
            </w:r>
          </w:p>
          <w:p w14:paraId="2A80C65F" w14:textId="77777777" w:rsidR="007530AF" w:rsidRDefault="007530AF">
            <w:pPr>
              <w:rPr>
                <w:rFonts w:eastAsia="黑体"/>
                <w:sz w:val="24"/>
              </w:rPr>
            </w:pPr>
          </w:p>
          <w:p w14:paraId="2947028E" w14:textId="77777777" w:rsidR="007530AF" w:rsidRDefault="007530AF">
            <w:pPr>
              <w:rPr>
                <w:rFonts w:eastAsia="黑体"/>
              </w:rPr>
            </w:pPr>
          </w:p>
          <w:p w14:paraId="2439C579" w14:textId="77777777" w:rsidR="007530AF" w:rsidRDefault="007530AF">
            <w:pPr>
              <w:rPr>
                <w:rFonts w:eastAsia="黑体"/>
              </w:rPr>
            </w:pPr>
          </w:p>
          <w:p w14:paraId="57597C29" w14:textId="77777777" w:rsidR="007530AF" w:rsidRDefault="007530AF">
            <w:pPr>
              <w:rPr>
                <w:rFonts w:eastAsia="黑体"/>
              </w:rPr>
            </w:pPr>
          </w:p>
          <w:p w14:paraId="1EFD1C7E" w14:textId="77777777" w:rsidR="007530AF" w:rsidRDefault="007530AF">
            <w:pPr>
              <w:rPr>
                <w:rFonts w:eastAsia="黑体"/>
              </w:rPr>
            </w:pPr>
          </w:p>
          <w:p w14:paraId="6F3AE151" w14:textId="77777777" w:rsidR="007530AF" w:rsidRDefault="007530AF">
            <w:pPr>
              <w:rPr>
                <w:rFonts w:eastAsia="黑体"/>
              </w:rPr>
            </w:pPr>
          </w:p>
          <w:p w14:paraId="40E2CE92" w14:textId="77777777" w:rsidR="007530AF" w:rsidRDefault="007530AF">
            <w:pPr>
              <w:rPr>
                <w:rFonts w:eastAsia="黑体"/>
              </w:rPr>
            </w:pPr>
          </w:p>
          <w:p w14:paraId="581B9154" w14:textId="77777777" w:rsidR="007530AF" w:rsidRDefault="007530AF">
            <w:pPr>
              <w:rPr>
                <w:rFonts w:eastAsia="黑体"/>
              </w:rPr>
            </w:pPr>
          </w:p>
          <w:p w14:paraId="34A318A3" w14:textId="77777777" w:rsidR="007530AF" w:rsidRDefault="007530AF">
            <w:pPr>
              <w:rPr>
                <w:rFonts w:eastAsia="黑体"/>
              </w:rPr>
            </w:pPr>
          </w:p>
          <w:p w14:paraId="6FF4E5E0" w14:textId="77777777" w:rsidR="007530AF" w:rsidRDefault="007530AF">
            <w:pPr>
              <w:rPr>
                <w:rFonts w:eastAsia="黑体"/>
              </w:rPr>
            </w:pPr>
          </w:p>
          <w:p w14:paraId="2123B937" w14:textId="77777777" w:rsidR="007530AF" w:rsidRDefault="007530AF">
            <w:pPr>
              <w:rPr>
                <w:rFonts w:eastAsia="黑体"/>
              </w:rPr>
            </w:pPr>
          </w:p>
          <w:p w14:paraId="7285299A" w14:textId="77777777" w:rsidR="007530AF" w:rsidRDefault="007530AF">
            <w:pPr>
              <w:rPr>
                <w:rFonts w:eastAsia="黑体"/>
              </w:rPr>
            </w:pPr>
          </w:p>
          <w:p w14:paraId="7999E2BE" w14:textId="77777777" w:rsidR="007530AF" w:rsidRDefault="007530AF">
            <w:pPr>
              <w:rPr>
                <w:rFonts w:eastAsia="黑体"/>
              </w:rPr>
            </w:pPr>
          </w:p>
          <w:p w14:paraId="1F9C7F26" w14:textId="77777777" w:rsidR="007530AF" w:rsidRDefault="007530AF">
            <w:pPr>
              <w:rPr>
                <w:rFonts w:eastAsia="黑体"/>
              </w:rPr>
            </w:pPr>
          </w:p>
          <w:p w14:paraId="51C68C7A" w14:textId="77777777" w:rsidR="007530AF" w:rsidRDefault="007530AF">
            <w:pPr>
              <w:rPr>
                <w:rFonts w:eastAsia="黑体"/>
              </w:rPr>
            </w:pPr>
          </w:p>
          <w:p w14:paraId="4907FC96" w14:textId="77777777" w:rsidR="007530AF" w:rsidRDefault="007530AF">
            <w:pPr>
              <w:rPr>
                <w:rFonts w:eastAsia="黑体"/>
              </w:rPr>
            </w:pPr>
          </w:p>
          <w:p w14:paraId="5271DF48" w14:textId="77777777" w:rsidR="007530AF" w:rsidRDefault="007530AF">
            <w:pPr>
              <w:rPr>
                <w:rFonts w:eastAsia="黑体"/>
              </w:rPr>
            </w:pPr>
          </w:p>
          <w:p w14:paraId="758FB05C" w14:textId="77777777" w:rsidR="007530AF" w:rsidRDefault="007530AF">
            <w:pPr>
              <w:rPr>
                <w:rFonts w:eastAsia="黑体"/>
              </w:rPr>
            </w:pPr>
          </w:p>
          <w:p w14:paraId="246DA625" w14:textId="77777777" w:rsidR="007530AF" w:rsidRDefault="007530AF">
            <w:pPr>
              <w:rPr>
                <w:rFonts w:eastAsia="黑体"/>
              </w:rPr>
            </w:pPr>
          </w:p>
        </w:tc>
      </w:tr>
    </w:tbl>
    <w:p w14:paraId="10E5BFCD" w14:textId="77777777" w:rsidR="007530AF" w:rsidRDefault="007530AF">
      <w:pPr>
        <w:rPr>
          <w:rFonts w:eastAsia="黑体"/>
          <w:sz w:val="24"/>
        </w:rPr>
      </w:pPr>
    </w:p>
    <w:p w14:paraId="58FBD0E5" w14:textId="77777777" w:rsidR="007530AF" w:rsidRDefault="009E02A0">
      <w:pPr>
        <w:rPr>
          <w:rFonts w:eastAsia="黑体"/>
          <w:sz w:val="24"/>
        </w:rPr>
      </w:pPr>
      <w:r>
        <w:rPr>
          <w:rFonts w:eastAsia="黑体" w:hint="eastAsia"/>
          <w:sz w:val="24"/>
        </w:rPr>
        <w:lastRenderedPageBreak/>
        <w:t>7</w:t>
      </w:r>
      <w:r w:rsidR="00E029C7">
        <w:rPr>
          <w:rFonts w:eastAsia="黑体" w:hint="eastAsia"/>
          <w:sz w:val="24"/>
        </w:rPr>
        <w:t>．研究</w:t>
      </w:r>
      <w:r w:rsidR="00E029C7">
        <w:rPr>
          <w:rFonts w:eastAsia="黑体"/>
          <w:sz w:val="24"/>
        </w:rPr>
        <w:t>进度</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59"/>
        <w:gridCol w:w="2843"/>
      </w:tblGrid>
      <w:tr w:rsidR="00E029C7" w14:paraId="6261E7AD" w14:textId="77777777" w:rsidTr="007530AF">
        <w:trPr>
          <w:trHeight w:val="567"/>
          <w:jc w:val="center"/>
        </w:trPr>
        <w:tc>
          <w:tcPr>
            <w:tcW w:w="1526" w:type="dxa"/>
            <w:vAlign w:val="center"/>
          </w:tcPr>
          <w:p w14:paraId="4F89CE96" w14:textId="77777777" w:rsidR="00E029C7" w:rsidRDefault="00EB14BC" w:rsidP="007530AF">
            <w:pPr>
              <w:jc w:val="center"/>
            </w:pPr>
            <w:r>
              <w:rPr>
                <w:rFonts w:hint="eastAsia"/>
              </w:rPr>
              <w:t>起讫日期</w:t>
            </w:r>
          </w:p>
        </w:tc>
        <w:tc>
          <w:tcPr>
            <w:tcW w:w="4159" w:type="dxa"/>
            <w:vAlign w:val="center"/>
          </w:tcPr>
          <w:p w14:paraId="74C731D2" w14:textId="77777777" w:rsidR="00E029C7" w:rsidRDefault="00EB14BC" w:rsidP="007530AF">
            <w:pPr>
              <w:jc w:val="center"/>
            </w:pPr>
            <w:r>
              <w:rPr>
                <w:rFonts w:hint="eastAsia"/>
              </w:rPr>
              <w:t>主要</w:t>
            </w:r>
            <w:r>
              <w:t>研究内容</w:t>
            </w:r>
          </w:p>
        </w:tc>
        <w:tc>
          <w:tcPr>
            <w:tcW w:w="2843" w:type="dxa"/>
            <w:vAlign w:val="center"/>
          </w:tcPr>
          <w:p w14:paraId="18CF439F" w14:textId="77777777" w:rsidR="00E029C7" w:rsidRDefault="00EB14BC" w:rsidP="007530AF">
            <w:pPr>
              <w:jc w:val="center"/>
            </w:pPr>
            <w:r>
              <w:rPr>
                <w:rFonts w:hint="eastAsia"/>
              </w:rPr>
              <w:t>预期</w:t>
            </w:r>
            <w:r>
              <w:t>结果</w:t>
            </w:r>
          </w:p>
        </w:tc>
      </w:tr>
      <w:tr w:rsidR="00E029C7" w14:paraId="33EF49FE" w14:textId="77777777" w:rsidTr="007530AF">
        <w:trPr>
          <w:trHeight w:val="567"/>
          <w:jc w:val="center"/>
        </w:trPr>
        <w:tc>
          <w:tcPr>
            <w:tcW w:w="1526" w:type="dxa"/>
            <w:vAlign w:val="center"/>
          </w:tcPr>
          <w:p w14:paraId="6101CB89" w14:textId="77777777" w:rsidR="00E029C7" w:rsidRDefault="00E029C7">
            <w:r>
              <w:rPr>
                <w:rFonts w:ascii="黑体" w:eastAsia="黑体" w:hAnsi="黑体"/>
                <w:sz w:val="22"/>
              </w:rPr>
              <w:t>2026.09—2026.10</w:t>
            </w:r>
          </w:p>
        </w:tc>
        <w:tc>
          <w:tcPr>
            <w:tcW w:w="4159" w:type="dxa"/>
            <w:vAlign w:val="center"/>
          </w:tcPr>
          <w:p w14:paraId="1CEA31FF" w14:textId="77777777" w:rsidR="00E029C7" w:rsidRDefault="00E029C7">
            <w:r>
              <w:rPr>
                <w:rFonts w:ascii="黑体" w:eastAsia="黑体" w:hAnsi="黑体"/>
                <w:sz w:val="22"/>
              </w:rPr>
              <w:t>系统梳理随机良率库存、双源采购、深度强化学习库存管理与非平稳强化学习四条脉络的国内外文献，完成选题报告；细化扩展马尔可夫决策过程的建模方案。</w:t>
            </w:r>
          </w:p>
        </w:tc>
        <w:tc>
          <w:tcPr>
            <w:tcW w:w="2843" w:type="dxa"/>
            <w:vAlign w:val="center"/>
          </w:tcPr>
          <w:p w14:paraId="5F8CB457" w14:textId="77777777" w:rsidR="00E029C7" w:rsidRDefault="00E029C7">
            <w:r>
              <w:rPr>
                <w:rFonts w:ascii="黑体" w:eastAsia="黑体" w:hAnsi="黑体"/>
                <w:sz w:val="22"/>
              </w:rPr>
              <w:t>完成选题报告与详细建模方案</w:t>
            </w:r>
          </w:p>
        </w:tc>
      </w:tr>
      <w:tr w:rsidR="00E029C7" w14:paraId="050BFB43" w14:textId="77777777" w:rsidTr="007530AF">
        <w:trPr>
          <w:trHeight w:val="567"/>
          <w:jc w:val="center"/>
        </w:trPr>
        <w:tc>
          <w:tcPr>
            <w:tcW w:w="1526" w:type="dxa"/>
            <w:vAlign w:val="center"/>
          </w:tcPr>
          <w:p w14:paraId="7DF66DAF" w14:textId="77777777" w:rsidR="00E029C7" w:rsidRDefault="00E029C7">
            <w:r>
              <w:rPr>
                <w:rFonts w:ascii="黑体" w:eastAsia="黑体" w:hAnsi="黑体"/>
                <w:sz w:val="22"/>
              </w:rPr>
              <w:t>2026.10—2026.12</w:t>
            </w:r>
          </w:p>
        </w:tc>
        <w:tc>
          <w:tcPr>
            <w:tcW w:w="4159" w:type="dxa"/>
            <w:vAlign w:val="center"/>
          </w:tcPr>
          <w:p w14:paraId="71DADFA9" w14:textId="77777777" w:rsidR="00E029C7" w:rsidRDefault="00E029C7">
            <w:r>
              <w:rPr>
                <w:rFonts w:ascii="黑体" w:eastAsia="黑体" w:hAnsi="黑体"/>
                <w:sz w:val="22"/>
              </w:rPr>
              <w:t>完成季节性需求与双源采购扩展环境的建模与代码实现；完成启发式基准策略族（LIR、WNH、NV、HEUR）的实现与单元测试。</w:t>
            </w:r>
          </w:p>
        </w:tc>
        <w:tc>
          <w:tcPr>
            <w:tcW w:w="2843" w:type="dxa"/>
            <w:vAlign w:val="center"/>
          </w:tcPr>
          <w:p w14:paraId="74C357CB" w14:textId="77777777" w:rsidR="00E029C7" w:rsidRDefault="00E029C7">
            <w:r>
              <w:rPr>
                <w:rFonts w:ascii="黑体" w:eastAsia="黑体" w:hAnsi="黑体"/>
                <w:sz w:val="22"/>
              </w:rPr>
              <w:t>完成仿真环境与启发式基准代码，形成阶段性测试报告</w:t>
            </w:r>
          </w:p>
        </w:tc>
      </w:tr>
      <w:tr w:rsidR="00E029C7" w14:paraId="2F1AD2BA" w14:textId="77777777" w:rsidTr="007530AF">
        <w:trPr>
          <w:trHeight w:val="567"/>
          <w:jc w:val="center"/>
        </w:trPr>
        <w:tc>
          <w:tcPr>
            <w:tcW w:w="1526" w:type="dxa"/>
            <w:vAlign w:val="center"/>
          </w:tcPr>
          <w:p w14:paraId="37B2FE33" w14:textId="77777777" w:rsidR="00E029C7" w:rsidRDefault="00E029C7">
            <w:r>
              <w:rPr>
                <w:rFonts w:ascii="黑体" w:eastAsia="黑体" w:hAnsi="黑体"/>
                <w:sz w:val="22"/>
              </w:rPr>
              <w:t>2026.12—2027.01</w:t>
            </w:r>
          </w:p>
        </w:tc>
        <w:tc>
          <w:tcPr>
            <w:tcW w:w="4159" w:type="dxa"/>
            <w:vAlign w:val="center"/>
          </w:tcPr>
          <w:p w14:paraId="68CEC198" w14:textId="77777777" w:rsidR="00E029C7" w:rsidRDefault="00E029C7">
            <w:r>
              <w:rPr>
                <w:rFonts w:ascii="黑体" w:eastAsia="黑体" w:hAnsi="黑体"/>
                <w:sz w:val="22"/>
              </w:rPr>
              <w:t>完成融合启发式先验的单智能体双输出深度强化学习架构与训练算法实现；完成小规模参数组合下的试运行与调试。</w:t>
            </w:r>
          </w:p>
        </w:tc>
        <w:tc>
          <w:tcPr>
            <w:tcW w:w="2843" w:type="dxa"/>
            <w:vAlign w:val="center"/>
          </w:tcPr>
          <w:p w14:paraId="5EE5C09B" w14:textId="77777777" w:rsidR="00E029C7" w:rsidRDefault="00E029C7">
            <w:r>
              <w:rPr>
                <w:rFonts w:ascii="黑体" w:eastAsia="黑体" w:hAnsi="黑体"/>
                <w:sz w:val="22"/>
              </w:rPr>
              <w:t>完成DRL架构实现，产出初步训练结果</w:t>
            </w:r>
          </w:p>
        </w:tc>
      </w:tr>
      <w:tr w:rsidR="00EB14BC" w14:paraId="0A66CFCA" w14:textId="77777777" w:rsidTr="007530AF">
        <w:trPr>
          <w:trHeight w:val="567"/>
          <w:jc w:val="center"/>
        </w:trPr>
        <w:tc>
          <w:tcPr>
            <w:tcW w:w="1526" w:type="dxa"/>
            <w:vAlign w:val="center"/>
          </w:tcPr>
          <w:p w14:paraId="3312E9EF" w14:textId="77777777" w:rsidR="00EB14BC" w:rsidRDefault="00EB14BC">
            <w:r>
              <w:rPr>
                <w:rFonts w:ascii="黑体" w:eastAsia="黑体" w:hAnsi="黑体"/>
                <w:sz w:val="22"/>
              </w:rPr>
              <w:t>2027.01—2027.02</w:t>
            </w:r>
          </w:p>
        </w:tc>
        <w:tc>
          <w:tcPr>
            <w:tcW w:w="4159" w:type="dxa"/>
            <w:vAlign w:val="center"/>
          </w:tcPr>
          <w:p w14:paraId="77A550C9" w14:textId="77777777" w:rsidR="00EB14BC" w:rsidRDefault="00EB14BC">
            <w:r>
              <w:rPr>
                <w:rFonts w:ascii="黑体" w:eastAsia="黑体" w:hAnsi="黑体"/>
                <w:sz w:val="22"/>
              </w:rPr>
              <w:t>开展覆盖主要参数维度的全参数网格数值实验，产出各策略在不同参数组合下的性能对比数据。</w:t>
            </w:r>
          </w:p>
        </w:tc>
        <w:tc>
          <w:tcPr>
            <w:tcW w:w="2843" w:type="dxa"/>
            <w:vAlign w:val="center"/>
          </w:tcPr>
          <w:p w14:paraId="1C191C7E" w14:textId="77777777" w:rsidR="00EB14BC" w:rsidRDefault="00EB14BC">
            <w:r>
              <w:rPr>
                <w:rFonts w:ascii="黑体" w:eastAsia="黑体" w:hAnsi="黑体"/>
                <w:sz w:val="22"/>
              </w:rPr>
              <w:t>完成全网格实验，形成实验数据报告</w:t>
            </w:r>
          </w:p>
        </w:tc>
      </w:tr>
      <w:tr w:rsidR="00A12584" w14:paraId="43DC0988" w14:textId="77777777" w:rsidTr="007530AF">
        <w:trPr>
          <w:trHeight w:val="567"/>
          <w:jc w:val="center"/>
        </w:trPr>
        <w:tc>
          <w:tcPr>
            <w:tcW w:w="1526" w:type="dxa"/>
            <w:vAlign w:val="center"/>
          </w:tcPr>
          <w:p w14:paraId="253E2CD6" w14:textId="77777777" w:rsidR="00A12584" w:rsidRDefault="00A12584">
            <w:r>
              <w:rPr>
                <w:rFonts w:ascii="黑体" w:eastAsia="黑体" w:hAnsi="黑体"/>
                <w:sz w:val="22"/>
              </w:rPr>
              <w:t>2027.02—2027.03</w:t>
            </w:r>
          </w:p>
        </w:tc>
        <w:tc>
          <w:tcPr>
            <w:tcW w:w="4159" w:type="dxa"/>
            <w:vAlign w:val="center"/>
          </w:tcPr>
          <w:p w14:paraId="5D4AC6E9" w14:textId="77777777" w:rsidR="00A12584" w:rsidRDefault="00A12584">
            <w:r>
              <w:rPr>
                <w:rFonts w:ascii="黑体" w:eastAsia="黑体" w:hAnsi="黑体"/>
                <w:sz w:val="22"/>
              </w:rPr>
              <w:t>开展消融实验，分离时间感知状态设计、教师锚定约束等关键组件的独立贡献；撰写学位论文建模与方法部分初稿。</w:t>
            </w:r>
          </w:p>
        </w:tc>
        <w:tc>
          <w:tcPr>
            <w:tcW w:w="2843" w:type="dxa"/>
            <w:vAlign w:val="center"/>
          </w:tcPr>
          <w:p w14:paraId="18BDC931" w14:textId="77777777" w:rsidR="00A12584" w:rsidRDefault="00A12584">
            <w:r>
              <w:rPr>
                <w:rFonts w:ascii="黑体" w:eastAsia="黑体" w:hAnsi="黑体"/>
                <w:sz w:val="22"/>
              </w:rPr>
              <w:t>完成消融实验，形成论文建模与方法章节初稿</w:t>
            </w:r>
          </w:p>
        </w:tc>
      </w:tr>
      <w:tr w:rsidR="00A12584" w14:paraId="11615254" w14:textId="77777777" w:rsidTr="007530AF">
        <w:trPr>
          <w:trHeight w:val="567"/>
          <w:jc w:val="center"/>
        </w:trPr>
        <w:tc>
          <w:tcPr>
            <w:tcW w:w="1526" w:type="dxa"/>
            <w:vAlign w:val="center"/>
          </w:tcPr>
          <w:p w14:paraId="6B66911A" w14:textId="77777777" w:rsidR="00A12584" w:rsidRDefault="00A12584">
            <w:r>
              <w:rPr>
                <w:rFonts w:ascii="黑体" w:eastAsia="黑体" w:hAnsi="黑体"/>
                <w:sz w:val="22"/>
              </w:rPr>
              <w:t>2027.03—2027.04</w:t>
            </w:r>
          </w:p>
        </w:tc>
        <w:tc>
          <w:tcPr>
            <w:tcW w:w="4159" w:type="dxa"/>
            <w:vAlign w:val="center"/>
          </w:tcPr>
          <w:p w14:paraId="58D98576" w14:textId="77777777" w:rsidR="00A12584" w:rsidRDefault="00A12584">
            <w:r>
              <w:rPr>
                <w:rFonts w:ascii="黑体" w:eastAsia="黑体" w:hAnsi="黑体"/>
                <w:sz w:val="22"/>
              </w:rPr>
              <w:t>撰写学位论文实验结果分析与管理启示部分初稿；准备并参加中期检查。</w:t>
            </w:r>
          </w:p>
        </w:tc>
        <w:tc>
          <w:tcPr>
            <w:tcW w:w="2843" w:type="dxa"/>
            <w:vAlign w:val="center"/>
          </w:tcPr>
          <w:p w14:paraId="2BE1D2D0" w14:textId="77777777" w:rsidR="00A12584" w:rsidRDefault="00A12584">
            <w:r>
              <w:rPr>
                <w:rFonts w:ascii="黑体" w:eastAsia="黑体" w:hAnsi="黑体"/>
                <w:sz w:val="22"/>
              </w:rPr>
              <w:t>完成论文实验与结论章节初稿，通过中期检查</w:t>
            </w:r>
          </w:p>
        </w:tc>
      </w:tr>
      <w:tr w:rsidR="00A12584" w14:paraId="4299622E" w14:textId="77777777" w:rsidTr="007530AF">
        <w:trPr>
          <w:trHeight w:val="567"/>
          <w:jc w:val="center"/>
        </w:trPr>
        <w:tc>
          <w:tcPr>
            <w:tcW w:w="1526" w:type="dxa"/>
            <w:vAlign w:val="center"/>
          </w:tcPr>
          <w:p w14:paraId="5DA00F0B" w14:textId="77777777" w:rsidR="00A12584" w:rsidRDefault="00A12584">
            <w:r>
              <w:rPr>
                <w:rFonts w:ascii="黑体" w:eastAsia="黑体" w:hAnsi="黑体"/>
                <w:sz w:val="22"/>
              </w:rPr>
              <w:t>2027.04—2027.05</w:t>
            </w:r>
          </w:p>
        </w:tc>
        <w:tc>
          <w:tcPr>
            <w:tcW w:w="4159" w:type="dxa"/>
            <w:vAlign w:val="center"/>
          </w:tcPr>
          <w:p w14:paraId="606E117B" w14:textId="77777777" w:rsidR="00A12584" w:rsidRDefault="00A12584">
            <w:r>
              <w:rPr>
                <w:rFonts w:ascii="黑体" w:eastAsia="黑体" w:hAnsi="黑体"/>
                <w:sz w:val="22"/>
              </w:rPr>
              <w:t>根据中期检查意见修改完善论文初稿；整理代码与实验数据，准备预答辩材料。</w:t>
            </w:r>
          </w:p>
        </w:tc>
        <w:tc>
          <w:tcPr>
            <w:tcW w:w="2843" w:type="dxa"/>
            <w:vAlign w:val="center"/>
          </w:tcPr>
          <w:p w14:paraId="79A17884" w14:textId="77777777" w:rsidR="00A12584" w:rsidRDefault="00A12584">
            <w:r>
              <w:rPr>
                <w:rFonts w:ascii="黑体" w:eastAsia="黑体" w:hAnsi="黑体"/>
                <w:sz w:val="22"/>
              </w:rPr>
              <w:t>完成论文完整初稿，完成预答辩</w:t>
            </w:r>
          </w:p>
        </w:tc>
      </w:tr>
      <w:tr w:rsidR="00A12584" w14:paraId="41329E51" w14:textId="77777777" w:rsidTr="007530AF">
        <w:trPr>
          <w:trHeight w:val="567"/>
          <w:jc w:val="center"/>
        </w:trPr>
        <w:tc>
          <w:tcPr>
            <w:tcW w:w="1526" w:type="dxa"/>
            <w:vAlign w:val="center"/>
          </w:tcPr>
          <w:p w14:paraId="11584CB7" w14:textId="3829A2EA" w:rsidR="00A12584" w:rsidRDefault="00A12584">
            <w:r>
              <w:rPr>
                <w:rFonts w:ascii="黑体" w:eastAsia="黑体" w:hAnsi="黑体"/>
                <w:sz w:val="22"/>
              </w:rPr>
              <w:t>2027.05—2027.0</w:t>
            </w:r>
            <w:r w:rsidR="00300FF0">
              <w:rPr>
                <w:rFonts w:ascii="黑体" w:eastAsia="黑体" w:hAnsi="黑体" w:hint="eastAsia"/>
                <w:sz w:val="22"/>
              </w:rPr>
              <w:t>7</w:t>
            </w:r>
          </w:p>
        </w:tc>
        <w:tc>
          <w:tcPr>
            <w:tcW w:w="4159" w:type="dxa"/>
            <w:vAlign w:val="center"/>
          </w:tcPr>
          <w:p w14:paraId="0383BF55" w14:textId="77777777" w:rsidR="00A12584" w:rsidRDefault="00A12584">
            <w:r>
              <w:rPr>
                <w:rFonts w:ascii="黑体" w:eastAsia="黑体" w:hAnsi="黑体"/>
                <w:sz w:val="22"/>
              </w:rPr>
              <w:t>根据预答辩与导师意见修改定稿；完成论文查重、评阅与答辩材料准备。</w:t>
            </w:r>
          </w:p>
        </w:tc>
        <w:tc>
          <w:tcPr>
            <w:tcW w:w="2843" w:type="dxa"/>
            <w:vAlign w:val="center"/>
          </w:tcPr>
          <w:p w14:paraId="704FD1DA" w14:textId="77777777" w:rsidR="00A12584" w:rsidRDefault="00A12584">
            <w:r>
              <w:rPr>
                <w:rFonts w:ascii="黑体" w:eastAsia="黑体" w:hAnsi="黑体"/>
                <w:sz w:val="22"/>
              </w:rPr>
              <w:t>完成学位论文定稿</w:t>
            </w:r>
          </w:p>
        </w:tc>
      </w:tr>
      <w:tr w:rsidR="00F12641" w14:paraId="11563A20" w14:textId="77777777" w:rsidTr="007530AF">
        <w:trPr>
          <w:trHeight w:val="567"/>
          <w:jc w:val="center"/>
        </w:trPr>
        <w:tc>
          <w:tcPr>
            <w:tcW w:w="1526" w:type="dxa"/>
            <w:vAlign w:val="center"/>
          </w:tcPr>
          <w:p w14:paraId="4DF06882" w14:textId="535D126B" w:rsidR="00F12641" w:rsidRDefault="00F12641"/>
        </w:tc>
        <w:tc>
          <w:tcPr>
            <w:tcW w:w="4159" w:type="dxa"/>
            <w:vAlign w:val="center"/>
          </w:tcPr>
          <w:p w14:paraId="1AE63053" w14:textId="0CA5CB99" w:rsidR="00F12641" w:rsidRDefault="00F12641"/>
        </w:tc>
        <w:tc>
          <w:tcPr>
            <w:tcW w:w="2843" w:type="dxa"/>
            <w:vAlign w:val="center"/>
          </w:tcPr>
          <w:p w14:paraId="0BD8A59D" w14:textId="32B6D854" w:rsidR="00F12641" w:rsidRDefault="00F12641"/>
        </w:tc>
      </w:tr>
      <w:tr w:rsidR="00F12641" w14:paraId="79939699" w14:textId="77777777" w:rsidTr="007530AF">
        <w:trPr>
          <w:trHeight w:val="567"/>
          <w:jc w:val="center"/>
        </w:trPr>
        <w:tc>
          <w:tcPr>
            <w:tcW w:w="1526" w:type="dxa"/>
            <w:vAlign w:val="center"/>
          </w:tcPr>
          <w:p w14:paraId="3400990B" w14:textId="77777777" w:rsidR="00F12641" w:rsidRDefault="00F12641"/>
        </w:tc>
        <w:tc>
          <w:tcPr>
            <w:tcW w:w="4159" w:type="dxa"/>
            <w:vAlign w:val="center"/>
          </w:tcPr>
          <w:p w14:paraId="15FC1669" w14:textId="77777777" w:rsidR="00F12641" w:rsidRDefault="00F12641"/>
        </w:tc>
        <w:tc>
          <w:tcPr>
            <w:tcW w:w="2843" w:type="dxa"/>
            <w:vAlign w:val="center"/>
          </w:tcPr>
          <w:p w14:paraId="02F484B4" w14:textId="77777777" w:rsidR="00F12641" w:rsidRDefault="00F12641"/>
        </w:tc>
      </w:tr>
      <w:tr w:rsidR="00E029C7" w14:paraId="54B1B0D2" w14:textId="77777777" w:rsidTr="007530AF">
        <w:trPr>
          <w:trHeight w:val="567"/>
          <w:jc w:val="center"/>
        </w:trPr>
        <w:tc>
          <w:tcPr>
            <w:tcW w:w="1526" w:type="dxa"/>
            <w:vAlign w:val="center"/>
          </w:tcPr>
          <w:p w14:paraId="2E05680B" w14:textId="77777777" w:rsidR="00E029C7" w:rsidRDefault="00E029C7"/>
        </w:tc>
        <w:tc>
          <w:tcPr>
            <w:tcW w:w="4159" w:type="dxa"/>
            <w:vAlign w:val="center"/>
          </w:tcPr>
          <w:p w14:paraId="20752D2A" w14:textId="77777777" w:rsidR="00E029C7" w:rsidRDefault="00E029C7"/>
        </w:tc>
        <w:tc>
          <w:tcPr>
            <w:tcW w:w="2843" w:type="dxa"/>
            <w:vAlign w:val="center"/>
          </w:tcPr>
          <w:p w14:paraId="4A525C74" w14:textId="77777777" w:rsidR="00E029C7" w:rsidRDefault="00E029C7"/>
        </w:tc>
      </w:tr>
      <w:tr w:rsidR="00F12641" w14:paraId="52F7B528" w14:textId="77777777" w:rsidTr="007530AF">
        <w:trPr>
          <w:trHeight w:val="567"/>
          <w:jc w:val="center"/>
        </w:trPr>
        <w:tc>
          <w:tcPr>
            <w:tcW w:w="1526" w:type="dxa"/>
            <w:vAlign w:val="center"/>
          </w:tcPr>
          <w:p w14:paraId="3FD94A98" w14:textId="77777777" w:rsidR="00F12641" w:rsidRDefault="00F12641"/>
        </w:tc>
        <w:tc>
          <w:tcPr>
            <w:tcW w:w="4159" w:type="dxa"/>
            <w:vAlign w:val="center"/>
          </w:tcPr>
          <w:p w14:paraId="0E0F8F0D" w14:textId="77777777" w:rsidR="00F12641" w:rsidRDefault="00F12641"/>
        </w:tc>
        <w:tc>
          <w:tcPr>
            <w:tcW w:w="2843" w:type="dxa"/>
            <w:vAlign w:val="center"/>
          </w:tcPr>
          <w:p w14:paraId="05EF936F" w14:textId="77777777" w:rsidR="009C6FD2" w:rsidRDefault="009C6FD2"/>
        </w:tc>
      </w:tr>
      <w:tr w:rsidR="009C6FD2" w14:paraId="1D961D6D" w14:textId="77777777" w:rsidTr="007530AF">
        <w:trPr>
          <w:trHeight w:val="567"/>
          <w:jc w:val="center"/>
        </w:trPr>
        <w:tc>
          <w:tcPr>
            <w:tcW w:w="1526" w:type="dxa"/>
            <w:vAlign w:val="center"/>
          </w:tcPr>
          <w:p w14:paraId="03EDA357" w14:textId="77777777" w:rsidR="009C6FD2" w:rsidRDefault="009C6FD2"/>
        </w:tc>
        <w:tc>
          <w:tcPr>
            <w:tcW w:w="4159" w:type="dxa"/>
            <w:vAlign w:val="center"/>
          </w:tcPr>
          <w:p w14:paraId="4E9FF1FC" w14:textId="77777777" w:rsidR="009C6FD2" w:rsidRDefault="009C6FD2"/>
        </w:tc>
        <w:tc>
          <w:tcPr>
            <w:tcW w:w="2843" w:type="dxa"/>
            <w:vAlign w:val="center"/>
          </w:tcPr>
          <w:p w14:paraId="69131EEB" w14:textId="77777777" w:rsidR="009C6FD2" w:rsidRDefault="009C6FD2"/>
        </w:tc>
      </w:tr>
      <w:tr w:rsidR="009C6FD2" w14:paraId="6466E9F8" w14:textId="77777777" w:rsidTr="007530AF">
        <w:trPr>
          <w:trHeight w:val="567"/>
          <w:jc w:val="center"/>
        </w:trPr>
        <w:tc>
          <w:tcPr>
            <w:tcW w:w="1526" w:type="dxa"/>
            <w:vAlign w:val="center"/>
          </w:tcPr>
          <w:p w14:paraId="22F3A256" w14:textId="77777777" w:rsidR="009C6FD2" w:rsidRDefault="009C6FD2"/>
        </w:tc>
        <w:tc>
          <w:tcPr>
            <w:tcW w:w="4159" w:type="dxa"/>
            <w:vAlign w:val="center"/>
          </w:tcPr>
          <w:p w14:paraId="77A77882" w14:textId="77777777" w:rsidR="009C6FD2" w:rsidRDefault="009C6FD2"/>
        </w:tc>
        <w:tc>
          <w:tcPr>
            <w:tcW w:w="2843" w:type="dxa"/>
            <w:vAlign w:val="center"/>
          </w:tcPr>
          <w:p w14:paraId="6EC70710" w14:textId="77777777" w:rsidR="009C6FD2" w:rsidRDefault="009C6FD2"/>
        </w:tc>
      </w:tr>
      <w:tr w:rsidR="009C6FD2" w14:paraId="1A14EA7C" w14:textId="77777777" w:rsidTr="007530AF">
        <w:trPr>
          <w:trHeight w:val="567"/>
          <w:jc w:val="center"/>
        </w:trPr>
        <w:tc>
          <w:tcPr>
            <w:tcW w:w="1526" w:type="dxa"/>
            <w:vAlign w:val="center"/>
          </w:tcPr>
          <w:p w14:paraId="5B2AC45B" w14:textId="77777777" w:rsidR="009C6FD2" w:rsidRDefault="009C6FD2"/>
        </w:tc>
        <w:tc>
          <w:tcPr>
            <w:tcW w:w="4159" w:type="dxa"/>
            <w:vAlign w:val="center"/>
          </w:tcPr>
          <w:p w14:paraId="12BBBB2A" w14:textId="77777777" w:rsidR="009C6FD2" w:rsidRDefault="009C6FD2"/>
        </w:tc>
        <w:tc>
          <w:tcPr>
            <w:tcW w:w="2843" w:type="dxa"/>
            <w:vAlign w:val="center"/>
          </w:tcPr>
          <w:p w14:paraId="47080782" w14:textId="77777777" w:rsidR="009C6FD2" w:rsidRDefault="009C6FD2"/>
        </w:tc>
      </w:tr>
    </w:tbl>
    <w:p w14:paraId="2F744BDF" w14:textId="77777777" w:rsidR="007530AF" w:rsidRDefault="007530AF"/>
    <w:p w14:paraId="1B8F8607" w14:textId="77777777" w:rsidR="007530AF" w:rsidRDefault="007530AF">
      <w:pPr>
        <w:ind w:left="-360"/>
      </w:pPr>
    </w:p>
    <w:p w14:paraId="6C15701D" w14:textId="77777777" w:rsidR="00E24A20" w:rsidRDefault="00E24A20" w:rsidP="00E24A20"/>
    <w:p w14:paraId="71CEB21C" w14:textId="77777777" w:rsidR="00E24A20" w:rsidRDefault="00E24A20" w:rsidP="00D274D7"/>
    <w:sectPr w:rsidR="00E24A20" w:rsidSect="00AF14A4">
      <w:footerReference w:type="first" r:id="rId14"/>
      <w:pgSz w:w="11906" w:h="16838"/>
      <w:pgMar w:top="1418" w:right="1797" w:bottom="1418"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13A0F4" w14:textId="77777777" w:rsidR="00890D0D" w:rsidRDefault="00890D0D" w:rsidP="00196594">
      <w:r>
        <w:separator/>
      </w:r>
    </w:p>
  </w:endnote>
  <w:endnote w:type="continuationSeparator" w:id="0">
    <w:p w14:paraId="671A5707" w14:textId="77777777" w:rsidR="00890D0D" w:rsidRDefault="00890D0D" w:rsidP="00196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C34A5" w14:textId="77777777" w:rsidR="001A62CB" w:rsidRDefault="001A62CB">
    <w:pPr>
      <w:pStyle w:val="a6"/>
      <w:jc w:val="center"/>
    </w:pPr>
  </w:p>
  <w:p w14:paraId="630C64AC" w14:textId="77777777" w:rsidR="001A62CB" w:rsidRDefault="001A62CB" w:rsidP="001A62CB">
    <w:pPr>
      <w:pStyle w:val="a6"/>
      <w:tabs>
        <w:tab w:val="clear" w:pos="8306"/>
        <w:tab w:val="right" w:pos="831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1C6C9" w14:textId="77777777" w:rsidR="001A62CB" w:rsidRDefault="001A62CB">
    <w:pPr>
      <w:pStyle w:val="a6"/>
      <w:jc w:val="center"/>
    </w:pPr>
    <w:r>
      <w:rPr>
        <w:rFonts w:hint="eastAsia"/>
      </w:rPr>
      <w:t>2</w:t>
    </w:r>
  </w:p>
  <w:p w14:paraId="53D3EECD" w14:textId="77777777" w:rsidR="001A62CB" w:rsidRDefault="001A62C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11405" w14:textId="77777777" w:rsidR="00AF14A4" w:rsidRDefault="00AF14A4">
    <w:pPr>
      <w:pStyle w:val="a6"/>
      <w:jc w:val="center"/>
    </w:pPr>
    <w:r>
      <w:rPr>
        <w:rFonts w:hint="eastAsia"/>
      </w:rPr>
      <w:t>5</w:t>
    </w:r>
  </w:p>
  <w:p w14:paraId="7A99D363" w14:textId="77777777" w:rsidR="00AF14A4" w:rsidRDefault="00AF14A4" w:rsidP="001A62CB">
    <w:pPr>
      <w:pStyle w:val="a6"/>
      <w:tabs>
        <w:tab w:val="clear" w:pos="8306"/>
        <w:tab w:val="right" w:pos="831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1F2D5" w14:textId="77777777" w:rsidR="00AF14A4" w:rsidRDefault="00AF14A4">
    <w:pPr>
      <w:pStyle w:val="a6"/>
      <w:jc w:val="center"/>
    </w:pPr>
    <w:r>
      <w:rPr>
        <w:rFonts w:hint="eastAsia"/>
      </w:rPr>
      <w:t>4</w:t>
    </w:r>
  </w:p>
  <w:p w14:paraId="3DFDC40C" w14:textId="77777777" w:rsidR="00AF14A4" w:rsidRDefault="00AF14A4">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E7572" w14:textId="77777777" w:rsidR="00AF14A4" w:rsidRDefault="00AF14A4">
    <w:pPr>
      <w:pStyle w:val="a6"/>
      <w:jc w:val="center"/>
    </w:pPr>
    <w:r>
      <w:rPr>
        <w:rFonts w:hint="eastAsia"/>
      </w:rPr>
      <w:t>7</w:t>
    </w:r>
  </w:p>
  <w:p w14:paraId="5D0C8010" w14:textId="77777777" w:rsidR="00AF14A4" w:rsidRDefault="00AF14A4" w:rsidP="001A62CB">
    <w:pPr>
      <w:pStyle w:val="a6"/>
      <w:tabs>
        <w:tab w:val="clear" w:pos="8306"/>
        <w:tab w:val="right" w:pos="831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0F3D6" w14:textId="77777777" w:rsidR="00AF14A4" w:rsidRDefault="00AF14A4">
    <w:pPr>
      <w:pStyle w:val="a6"/>
      <w:jc w:val="center"/>
    </w:pPr>
    <w:r>
      <w:rPr>
        <w:rFonts w:hint="eastAsia"/>
      </w:rPr>
      <w:t>6</w:t>
    </w:r>
  </w:p>
  <w:p w14:paraId="28974FA8" w14:textId="77777777" w:rsidR="00AF14A4" w:rsidRDefault="00AF14A4">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9A250" w14:textId="77777777" w:rsidR="00AF14A4" w:rsidRDefault="009E02A0">
    <w:pPr>
      <w:pStyle w:val="a6"/>
      <w:jc w:val="center"/>
    </w:pPr>
    <w:r>
      <w:t>9</w:t>
    </w:r>
  </w:p>
  <w:p w14:paraId="5B649913" w14:textId="77777777" w:rsidR="00AF14A4" w:rsidRDefault="00AF14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FADE6" w14:textId="77777777" w:rsidR="00890D0D" w:rsidRDefault="00890D0D" w:rsidP="00196594">
      <w:r>
        <w:separator/>
      </w:r>
    </w:p>
  </w:footnote>
  <w:footnote w:type="continuationSeparator" w:id="0">
    <w:p w14:paraId="77E7B1C3" w14:textId="77777777" w:rsidR="00890D0D" w:rsidRDefault="00890D0D" w:rsidP="00196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711A9F"/>
    <w:multiLevelType w:val="hybridMultilevel"/>
    <w:tmpl w:val="DAA0AAC8"/>
    <w:lvl w:ilvl="0" w:tplc="16A4F320">
      <w:start w:val="9"/>
      <w:numFmt w:val="bullet"/>
      <w:lvlText w:val="□"/>
      <w:lvlJc w:val="left"/>
      <w:pPr>
        <w:ind w:left="720" w:hanging="360"/>
      </w:pPr>
      <w:rPr>
        <w:rFonts w:ascii="黑体" w:eastAsia="黑体" w:hAnsi="黑体"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959058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637D"/>
    <w:rsid w:val="0000439A"/>
    <w:rsid w:val="00024188"/>
    <w:rsid w:val="00031823"/>
    <w:rsid w:val="000564B2"/>
    <w:rsid w:val="0006781C"/>
    <w:rsid w:val="0008180D"/>
    <w:rsid w:val="00087980"/>
    <w:rsid w:val="000A4967"/>
    <w:rsid w:val="000A64C8"/>
    <w:rsid w:val="000D5F5E"/>
    <w:rsid w:val="00124944"/>
    <w:rsid w:val="0012518E"/>
    <w:rsid w:val="0015637D"/>
    <w:rsid w:val="00156877"/>
    <w:rsid w:val="00185E8F"/>
    <w:rsid w:val="0019472C"/>
    <w:rsid w:val="00196594"/>
    <w:rsid w:val="001A62CB"/>
    <w:rsid w:val="001A74C0"/>
    <w:rsid w:val="001B5AD1"/>
    <w:rsid w:val="001D50AB"/>
    <w:rsid w:val="001D5403"/>
    <w:rsid w:val="001F5E68"/>
    <w:rsid w:val="00207EDB"/>
    <w:rsid w:val="0022569F"/>
    <w:rsid w:val="00245F8F"/>
    <w:rsid w:val="002721A6"/>
    <w:rsid w:val="0027703E"/>
    <w:rsid w:val="002B7970"/>
    <w:rsid w:val="002E7727"/>
    <w:rsid w:val="002F014F"/>
    <w:rsid w:val="002F469D"/>
    <w:rsid w:val="00300FF0"/>
    <w:rsid w:val="0030476D"/>
    <w:rsid w:val="0033722F"/>
    <w:rsid w:val="003A53A8"/>
    <w:rsid w:val="003A7D96"/>
    <w:rsid w:val="00442C69"/>
    <w:rsid w:val="00461025"/>
    <w:rsid w:val="0046290A"/>
    <w:rsid w:val="00481B9A"/>
    <w:rsid w:val="00490769"/>
    <w:rsid w:val="004B0C17"/>
    <w:rsid w:val="004B6D56"/>
    <w:rsid w:val="004C07B5"/>
    <w:rsid w:val="004C7EF6"/>
    <w:rsid w:val="00544499"/>
    <w:rsid w:val="00546F9B"/>
    <w:rsid w:val="00547E4C"/>
    <w:rsid w:val="005620FA"/>
    <w:rsid w:val="00567D5A"/>
    <w:rsid w:val="00595F6F"/>
    <w:rsid w:val="005A4D3A"/>
    <w:rsid w:val="005D2C2C"/>
    <w:rsid w:val="005D6ED4"/>
    <w:rsid w:val="005E0DBD"/>
    <w:rsid w:val="005E7BB0"/>
    <w:rsid w:val="00625244"/>
    <w:rsid w:val="00640489"/>
    <w:rsid w:val="00640ADB"/>
    <w:rsid w:val="00656998"/>
    <w:rsid w:val="00656C41"/>
    <w:rsid w:val="006A2A3C"/>
    <w:rsid w:val="006B2103"/>
    <w:rsid w:val="006D6459"/>
    <w:rsid w:val="00701518"/>
    <w:rsid w:val="007530AF"/>
    <w:rsid w:val="007D66C3"/>
    <w:rsid w:val="007E3502"/>
    <w:rsid w:val="007E44A1"/>
    <w:rsid w:val="007E7B6C"/>
    <w:rsid w:val="007F5A7D"/>
    <w:rsid w:val="008015CC"/>
    <w:rsid w:val="0084170D"/>
    <w:rsid w:val="00853987"/>
    <w:rsid w:val="00861C3D"/>
    <w:rsid w:val="00877F69"/>
    <w:rsid w:val="00890D0D"/>
    <w:rsid w:val="00897EA5"/>
    <w:rsid w:val="008A7129"/>
    <w:rsid w:val="008C4459"/>
    <w:rsid w:val="008C781D"/>
    <w:rsid w:val="008D151B"/>
    <w:rsid w:val="008D575C"/>
    <w:rsid w:val="00917C1D"/>
    <w:rsid w:val="00932A77"/>
    <w:rsid w:val="009351A6"/>
    <w:rsid w:val="00944EEE"/>
    <w:rsid w:val="00962B74"/>
    <w:rsid w:val="009A7FFB"/>
    <w:rsid w:val="009B405A"/>
    <w:rsid w:val="009C6FD2"/>
    <w:rsid w:val="009D2B64"/>
    <w:rsid w:val="009E02A0"/>
    <w:rsid w:val="00A12584"/>
    <w:rsid w:val="00A157FB"/>
    <w:rsid w:val="00A263E5"/>
    <w:rsid w:val="00A52235"/>
    <w:rsid w:val="00A57328"/>
    <w:rsid w:val="00A917DE"/>
    <w:rsid w:val="00AA52FD"/>
    <w:rsid w:val="00AB3846"/>
    <w:rsid w:val="00AB67F3"/>
    <w:rsid w:val="00AC14D4"/>
    <w:rsid w:val="00AD17F9"/>
    <w:rsid w:val="00AE6E2D"/>
    <w:rsid w:val="00AE708B"/>
    <w:rsid w:val="00AF14A4"/>
    <w:rsid w:val="00B137DB"/>
    <w:rsid w:val="00B26638"/>
    <w:rsid w:val="00B30840"/>
    <w:rsid w:val="00B54F46"/>
    <w:rsid w:val="00B67C7D"/>
    <w:rsid w:val="00B90ADA"/>
    <w:rsid w:val="00BA4C47"/>
    <w:rsid w:val="00BB686C"/>
    <w:rsid w:val="00BD125B"/>
    <w:rsid w:val="00BD741A"/>
    <w:rsid w:val="00BE5DDB"/>
    <w:rsid w:val="00C61D3F"/>
    <w:rsid w:val="00C72E9F"/>
    <w:rsid w:val="00C7578B"/>
    <w:rsid w:val="00C83B0A"/>
    <w:rsid w:val="00C93FC0"/>
    <w:rsid w:val="00CB1806"/>
    <w:rsid w:val="00CB195E"/>
    <w:rsid w:val="00CF6765"/>
    <w:rsid w:val="00D23DE9"/>
    <w:rsid w:val="00D274D7"/>
    <w:rsid w:val="00D52064"/>
    <w:rsid w:val="00D53D4F"/>
    <w:rsid w:val="00D723D4"/>
    <w:rsid w:val="00D8525E"/>
    <w:rsid w:val="00D90394"/>
    <w:rsid w:val="00DA515C"/>
    <w:rsid w:val="00DB2228"/>
    <w:rsid w:val="00DB7E9B"/>
    <w:rsid w:val="00DE4D8C"/>
    <w:rsid w:val="00DE600D"/>
    <w:rsid w:val="00DF610C"/>
    <w:rsid w:val="00E029C7"/>
    <w:rsid w:val="00E16FE9"/>
    <w:rsid w:val="00E24A20"/>
    <w:rsid w:val="00E24D3A"/>
    <w:rsid w:val="00E27C74"/>
    <w:rsid w:val="00E53BEE"/>
    <w:rsid w:val="00EB14BC"/>
    <w:rsid w:val="00EB3505"/>
    <w:rsid w:val="00ED00AD"/>
    <w:rsid w:val="00EF18D5"/>
    <w:rsid w:val="00F07658"/>
    <w:rsid w:val="00F12641"/>
    <w:rsid w:val="00F552C6"/>
    <w:rsid w:val="00F663F8"/>
    <w:rsid w:val="00F858F4"/>
    <w:rsid w:val="00FB541C"/>
    <w:rsid w:val="00FE7C92"/>
    <w:rsid w:val="40057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04DB1"/>
  <w15:chartTrackingRefBased/>
  <w15:docId w15:val="{313D5728-F3C5-4626-9EEB-BD2FD406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uiPriority w:val="99"/>
    <w:rPr>
      <w:kern w:val="2"/>
      <w:sz w:val="18"/>
      <w:szCs w:val="18"/>
    </w:rPr>
  </w:style>
  <w:style w:type="character" w:customStyle="1" w:styleId="a7">
    <w:name w:val="批注框文本 字符"/>
    <w:link w:val="a8"/>
    <w:rPr>
      <w:kern w:val="2"/>
      <w:sz w:val="18"/>
      <w:szCs w:val="18"/>
    </w:rPr>
  </w:style>
  <w:style w:type="character" w:customStyle="1" w:styleId="a9">
    <w:name w:val="标题 字符"/>
    <w:link w:val="aa"/>
    <w:rPr>
      <w:rFonts w:ascii="Cambria" w:hAnsi="Cambria"/>
      <w:b/>
      <w:bCs/>
      <w:kern w:val="2"/>
      <w:sz w:val="32"/>
      <w:szCs w:val="32"/>
    </w:rPr>
  </w:style>
  <w:style w:type="paragraph" w:styleId="a8">
    <w:name w:val="Balloon Text"/>
    <w:basedOn w:val="a"/>
    <w:link w:val="a7"/>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b">
    <w:name w:val="Normal Indent"/>
    <w:basedOn w:val="a"/>
    <w:pPr>
      <w:ind w:firstLine="420"/>
    </w:pPr>
  </w:style>
  <w:style w:type="paragraph" w:styleId="aa">
    <w:name w:val="Title"/>
    <w:basedOn w:val="a"/>
    <w:next w:val="a"/>
    <w:link w:val="a9"/>
    <w:qFormat/>
    <w:pPr>
      <w:spacing w:before="240" w:after="60"/>
      <w:jc w:val="center"/>
      <w:outlineLvl w:val="0"/>
    </w:pPr>
    <w:rPr>
      <w:rFonts w:ascii="Cambria" w:hAnsi="Cambria"/>
      <w:b/>
      <w:bCs/>
      <w:sz w:val="32"/>
      <w:szCs w:val="32"/>
    </w:rPr>
  </w:style>
  <w:style w:type="paragraph" w:styleId="a6">
    <w:name w:val="footer"/>
    <w:basedOn w:val="a"/>
    <w:link w:val="a5"/>
    <w:uiPriority w:val="99"/>
    <w:pPr>
      <w:tabs>
        <w:tab w:val="center" w:pos="4153"/>
        <w:tab w:val="right" w:pos="8306"/>
      </w:tabs>
      <w:snapToGrid w:val="0"/>
      <w:jc w:val="left"/>
    </w:pPr>
    <w:rPr>
      <w:sz w:val="18"/>
      <w:szCs w:val="18"/>
    </w:rPr>
  </w:style>
  <w:style w:type="paragraph" w:styleId="ac">
    <w:name w:val="Revision"/>
    <w:uiPriority w:val="99"/>
    <w:semiHidden/>
    <w:rPr>
      <w:kern w:val="2"/>
      <w:sz w:val="21"/>
      <w:szCs w:val="24"/>
    </w:rPr>
  </w:style>
  <w:style w:type="table" w:styleId="ad">
    <w:name w:val="Table Grid"/>
    <w:basedOn w:val="a1"/>
    <w:rsid w:val="00E029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Professional"/>
    <w:basedOn w:val="a1"/>
    <w:rsid w:val="00EB14BC"/>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af">
    <w:name w:val="annotation reference"/>
    <w:rsid w:val="00A917DE"/>
    <w:rPr>
      <w:sz w:val="21"/>
      <w:szCs w:val="21"/>
    </w:rPr>
  </w:style>
  <w:style w:type="paragraph" w:styleId="af0">
    <w:name w:val="annotation text"/>
    <w:basedOn w:val="a"/>
    <w:link w:val="af1"/>
    <w:rsid w:val="00A917DE"/>
    <w:pPr>
      <w:jc w:val="left"/>
    </w:pPr>
  </w:style>
  <w:style w:type="character" w:customStyle="1" w:styleId="af1">
    <w:name w:val="批注文字 字符"/>
    <w:link w:val="af0"/>
    <w:rsid w:val="00A917DE"/>
    <w:rPr>
      <w:kern w:val="2"/>
      <w:sz w:val="21"/>
      <w:szCs w:val="24"/>
    </w:rPr>
  </w:style>
  <w:style w:type="paragraph" w:styleId="af2">
    <w:name w:val="annotation subject"/>
    <w:basedOn w:val="af0"/>
    <w:next w:val="af0"/>
    <w:link w:val="af3"/>
    <w:rsid w:val="00A917DE"/>
    <w:rPr>
      <w:b/>
      <w:bCs/>
    </w:rPr>
  </w:style>
  <w:style w:type="character" w:customStyle="1" w:styleId="af3">
    <w:name w:val="批注主题 字符"/>
    <w:link w:val="af2"/>
    <w:rsid w:val="00A917DE"/>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85EB2-25A6-254C-BC7E-F2D0A6648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14</Pages>
  <Words>6577</Words>
  <Characters>9604</Characters>
  <Application>Microsoft Office Word</Application>
  <DocSecurity>0</DocSecurity>
  <Lines>400</Lines>
  <Paragraphs>234</Paragraphs>
  <ScaleCrop>false</ScaleCrop>
  <Company>vip</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博士研究生学位论文开题报告</dc:title>
  <dc:subject/>
  <dc:creator>vip</dc:creator>
  <cp:keywords/>
  <cp:lastModifiedBy>peng yi</cp:lastModifiedBy>
  <cp:revision>15</cp:revision>
  <cp:lastPrinted>2012-11-19T02:35:00Z</cp:lastPrinted>
  <dcterms:created xsi:type="dcterms:W3CDTF">2026-10-12T06:33:00Z</dcterms:created>
  <dcterms:modified xsi:type="dcterms:W3CDTF">2026-10-14T10:52:00Z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