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INVESTMENT SUMMARY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BlueBay Destra International Event-Driven Credit Fund (CEDIX)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MANAGER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Inception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Headquarters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RBC BlueBay Asset Management: London (global platform with Toronto &amp; Chicago presence) *(HQ assumed based on BlueBay’s primary location; confirm in final due diligence)*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Firm Assets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~$150B global credit AUM; &gt;$40B alternative credit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Fund Strategy Assets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~$700MM (as of June 30, 2025)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Asset Class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Private / Alternative Credit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Sub-Asset Class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Global event-driven &amp; opportunistic (stressed/distressed) credit; catalyst-driven special situations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Mgmt. Fee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1.35%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Incentive Fee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15% of net investment income above a 5% annual hurdle; high-water mark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Fund Term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Evergreen interval fund (daily NAV; quarterly repurchase offers ≥5% of NAV)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Leverage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Permitted up to 33% of assets</w:t>
            </w:r>
          </w:p>
        </w:tc>
      </w:tr>
    </w:tbl>
    <w:p>
      <w:pPr>
        <w:spacing w:after="200"/>
      </w:pP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BlueBay Destra International Event-Driven Credit Fund (CEDIX) is an evergreen interval fund providing access to RBC BlueBay Asset Management’s global event-driven and opportunistic credit platform. The strategy targets stressed and distressed credit situations with identifiable catalysts (e.g., restructurings, refinancings, re-ratings, and post-reorganization securities), seeking to generate catalyst-driven alpha rather than relying primarily on carry from “coupon-clipping” credit.</w:t>
      </w:r>
    </w:p>
    <w:p>
      <w:pPr>
        <w:spacing w:after="120"/>
      </w:pPr>
      <w:r>
        <w:rPr>
          <w:sz w:val="22"/>
          <w:szCs w:val="22"/>
        </w:rPr>
        <w:t xml:space="preserve">The vehicle is designed for taxable U.S. investors seeking private-credit-like returns with improved operational usability: daily NAV, quarterly repurchases (≥5% of NAV, subject to proration), and 1099-DIV reporting (no K-1, no capital calls). The stated expected return is 10–13% net annualized, benchmarked to the Cliffwater Direct Lending Index (CDLI), with portfolio construction tilted toward senior secured and structured credit to improve downside resilience across credit cycles.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FIRM OVERVIEW</w:t>
      </w:r>
    </w:p>
    <w:p>
      <w:pPr>
        <w:spacing w:after="120"/>
      </w:pPr>
      <w:r>
        <w:rPr>
          <w:sz w:val="22"/>
          <w:szCs w:val="22"/>
        </w:rPr>
        <w:t xml:space="preserve">RBC BlueBay Asset Management is a global credit specialist founded in 2001 and owned by Royal Bank of Canada. The firm manages approximately $150B in global credit assets, including more than $40B in alternative credit strategies, indicating meaningful scale, sourcing capability, and credit underwriting infrastructure. The fund is distributed in the U.S. through Destra Capital Advisors, a platform with dedicated experience in interval-fund structuring and servicing for wealth channels.</w:t>
      </w:r>
    </w:p>
    <w:p>
      <w:pPr>
        <w:spacing w:after="120"/>
      </w:pPr>
      <w:r>
        <w:rPr>
          <w:sz w:val="22"/>
          <w:szCs w:val="22"/>
        </w:rPr>
        <w:t xml:space="preserve">Competitive advantages emphasized in the materials include: (i) a global and multi-location footprint (London/Toronto/Chicago noted) supporting cross-border sourcing and restructuring expertise, (ii) specialization in complex credit and event-driven situations where legal/process execution is a key return driver, and (iii) an evergreen interval-fund format that improves investor experience versus traditional closed-end drawdown funds (no capital calls; daily NAV; 1099). Team-level tenure, staffing, and historical performance detail were not provided in the excerpted materials; we assume an institutional credit platform consistent with comparable RBC BlueBay strategies and would confirm key-person depth and turnover history in final diligence.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OVERVIEW</w:t>
      </w:r>
    </w:p>
    <w:p>
      <w:pPr>
        <w:spacing w:after="120"/>
      </w:pPr>
      <w:r>
        <w:rPr>
          <w:sz w:val="22"/>
          <w:szCs w:val="22"/>
        </w:rPr>
        <w:t xml:space="preserve">Core Strategy: Global event-driven and opportunistic credit investing in stressed/distressed and special situations with identifiable catalysts (restructuring, refinancing, re-rating), across performing/non-performing loans, trade claims, and structured/special situations; may include post-reorg equity/preferreds opportunistically.</w:t>
      </w:r>
    </w:p>
    <w:p>
      <w:pPr>
        <w:spacing w:after="120"/>
      </w:pPr>
      <w:r>
        <w:rPr>
          <w:sz w:val="22"/>
          <w:szCs w:val="22"/>
        </w:rPr>
        <w:t xml:space="preserve">Key Characteristics:</w:t>
      </w:r>
    </w:p>
    <w:p>
      <w:pPr>
        <w:spacing w:after="80"/>
        <w:ind w:left="360"/>
      </w:pPr>
      <w:r>
        <w:rPr>
          <w:sz w:val="22"/>
          <w:szCs w:val="22"/>
        </w:rPr>
        <w:t xml:space="preserve">• Core Exposure: Catalyst-driven credit opportunities with an emphasis on senior secured and structured credit positions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Investment Themes: Restructurings, balance-sheet repairs, refinancing windows, dislocated pricing, post-reorganization capital structures</w:t>
      </w:r>
    </w:p>
    <w:p>
      <w:pPr>
        <w:spacing w:after="80"/>
        <w:ind w:left="360"/>
      </w:pPr>
      <w:r>
        <w:rPr>
          <w:sz w:val="22"/>
          <w:szCs w:val="22"/>
        </w:rPr>
        <w:t xml:space="preserve">• Geography: North America ~55%; Europe ~40%; Emerging ~5%</w:t>
      </w:r>
    </w:p>
    <w:p>
      <w:pPr>
        <w:spacing w:after="80"/>
        <w:ind w:left="360"/>
      </w:pPr>
      <w:r>
        <w:rPr>
          <w:sz w:val="22"/>
          <w:szCs w:val="22"/>
        </w:rPr>
        <w:t xml:space="preserve">• Liquidity: Daily NAV; quarterly repurchase offers ≥5% of NAV (repurchases may be prorated during heavy demand/stress); 1099-DIV; no capital calls</w:t>
      </w:r>
    </w:p>
    <w:p>
      <w:pPr>
        <w:spacing w:after="80"/>
        <w:ind w:left="360"/>
      </w:pPr>
      <w:r>
        <w:rPr>
          <w:sz w:val="22"/>
          <w:szCs w:val="22"/>
        </w:rPr>
        <w:t xml:space="preserve">• Benchmark: Cliffwater Direct Lending Index (CDLI)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Expected Return: 10–13% net annualized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REASONS TO RE-ASSESS / REDEEM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Performance &amp; Risk Metrics</w:t>
      </w:r>
    </w:p>
    <w:p>
      <w:pPr>
        <w:spacing w:after="80"/>
        <w:ind w:left="360"/>
      </w:pPr>
      <w:r>
        <w:rPr>
          <w:sz w:val="22"/>
          <w:szCs w:val="22"/>
        </w:rPr>
        <w:t xml:space="preserve">• **Return underperformance:** Reassess if rolling **12-month net return &lt;8%** (manager’s stated monitoring trigger).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**Drawdown discipline:** Reassess/redeem if **NAV drawdown &gt;5%** absent a clearly defined systemic credit shock (manager’s stated trigger).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**Risk-adjusted deterioration (assumption-based, pending risk data):** Reassess if 12-month return remains **&lt;8%** while drawdowns exceed **5%**, indicating weak payoff to risk; or if volatility materially increases without commensurate return improvement (to be quantified once risk metrics are available).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Portfolio Composition / Strategy Drift</w:t>
      </w:r>
    </w:p>
    <w:p>
      <w:pPr>
        <w:spacing w:after="80"/>
        <w:ind w:left="360"/>
      </w:pPr>
      <w:r>
        <w:rPr>
          <w:sz w:val="22"/>
          <w:szCs w:val="22"/>
        </w:rPr>
        <w:t xml:space="preserve">• **Event-driven exposure drift:** Reassess if event-driven/special situations fall **below 60%** of portfolio exposure.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**Seniority drift:** Reassess if **first-lien exposure falls below 65%** (style/downside posture drift).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**Concentration controls (assumption-based):** Reassess if any single issuer exceeds **5% NAV** or top-10 issuers exceed **35% NAV** (to be confirmed vs. fund guidelines and holdings transparency).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Liquidity &amp; Leverage</w:t>
      </w:r>
    </w:p>
    <w:p>
      <w:pPr>
        <w:spacing w:after="80"/>
        <w:ind w:left="360"/>
      </w:pPr>
      <w:r>
        <w:rPr>
          <w:sz w:val="22"/>
          <w:szCs w:val="22"/>
        </w:rPr>
        <w:t xml:space="preserve">• **Redemption pressure:** Reassess if repurchase requests exceed **200% of the offered amount for two consecutive quarters** (signals elevated liquidity stress and potential proration risk).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**Leverage creep:** Reassess if gross leverage persistently exceeds **25%** (early-warning threshold) and redeem/halt additions if leverage approaches the **33%** stated limit, absent a clear, temporary tactical rationale.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Governance / Process Concerns</w:t>
      </w:r>
    </w:p>
    <w:p>
      <w:pPr>
        <w:spacing w:after="80"/>
        <w:ind w:left="360"/>
      </w:pPr>
      <w:r>
        <w:rPr>
          <w:sz w:val="22"/>
          <w:szCs w:val="22"/>
        </w:rPr>
        <w:t xml:space="preserve">• **Expense “fee creep”:** Reassess if total expenses increase by **&gt;50 bps** versus current levels (manager’s stated trigger).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**Key service provider / governance turnover:** Reassess upon material turnover in portfolio management leadership, administrator/valuation agent changes, or reduced transparency/reporting timeliness.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Market/Macro Context</w:t>
      </w:r>
    </w:p>
    <w:p>
      <w:pPr>
        <w:spacing w:after="80"/>
        <w:ind w:left="360"/>
      </w:pPr>
      <w:r>
        <w:rPr>
          <w:sz w:val="22"/>
          <w:szCs w:val="22"/>
        </w:rPr>
        <w:t xml:space="preserve">• Reassess if the opportunity set for stressed/distressed catalysts compresses materially (e.g., broad spread tightening and high refi availability) such that the strategy cannot source catalyst-driven positions at targeted return levels **(10–13% net)** without increasing leverage or moving down the capital structure.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MERITS</w:t>
      </w:r>
    </w:p>
    <w:p>
      <w:pPr>
        <w:spacing w:after="120"/>
      </w:pPr>
      <w:r>
        <w:rPr>
          <w:sz w:val="22"/>
          <w:szCs w:val="22"/>
        </w:rPr>
        <w:t xml:space="preserve">1. Catalyst-Driven Alpha vs. Carry-Only Credit: The strategy targets discrete corporate and capital-structure catalysts (restructuring/refinancing/re-rating), which can provide idiosyncratic return drivers and potentially reduce reliance on simple spread carry, particularly valuable in late-cycle or volatile rate environments.</w:t>
      </w:r>
    </w:p>
    <w:p>
      <w:pPr>
        <w:spacing w:after="120"/>
      </w:pPr>
      <w:r>
        <w:rPr>
          <w:sz w:val="22"/>
          <w:szCs w:val="22"/>
        </w:rPr>
        <w:t xml:space="preserve">2. Downside Posture via Senior Secured / Structured Tilt: Portfolio construction emphasizes senior secured and structured credit exposures, supporting recovery prospects and collateral protection relative to junior unsecured exposures, while still participating in event-driven mispricings.</w:t>
      </w:r>
    </w:p>
    <w:p>
      <w:pPr>
        <w:spacing w:after="120"/>
      </w:pPr>
      <w:r>
        <w:rPr>
          <w:sz w:val="22"/>
          <w:szCs w:val="22"/>
        </w:rPr>
        <w:t xml:space="preserve">3. Global Sourcing Advantage with Meaningful Scale: RBC BlueBay’s ~$150B credit platform and &gt;$40B in alternative credit provide sourcing breadth across regions and capital structures. The fund’s geographic mix (NA ~55% / Europe ~40% / EM ~5%) broadens opportunity capture and reduces dependence on a single region’s cycle.</w:t>
      </w:r>
    </w:p>
    <w:p>
      <w:pPr>
        <w:spacing w:after="120"/>
      </w:pPr>
      <w:r>
        <w:rPr>
          <w:sz w:val="22"/>
          <w:szCs w:val="22"/>
        </w:rPr>
        <w:t xml:space="preserve">4. Wealth-Friendly Semi-Liquid Structure: Daily NAV, quarterly repurchases (≥5% of NAV), 1099-DIV reporting, and no capital calls improve operational fit for taxable HNW portfolios compared with traditional closed-end private credit funds (though liquidity is not guaranteed and may be prorated).</w:t>
      </w:r>
    </w:p>
    <w:p>
      <w:pPr>
        <w:spacing w:after="120"/>
      </w:pPr>
      <w:r>
        <w:rPr>
          <w:sz w:val="22"/>
          <w:szCs w:val="22"/>
        </w:rPr>
        <w:t xml:space="preserve">5. Defined Monitoring Framework with Explicit Triggers: The manager/distributor materials specify measurable underperformance, drawdown, style drift, liquidity stress, leverage, and expense thresholds—supporting disciplined oversight and faster governance action if the fund deviates from mandate or expected behavior.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RISKS &amp; MITIGANTS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Interval Fund Liquidity / Repurchase Proration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Quarterly repurchases are limited (≥5% of NAV) and may be prorated during periods of high demand, creating timing risk for liquidity needs.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Position-sizing should reflect semi-liquid reality (treat as long-term allocation). Monitor redemption demand; **reassess if requests &gt;200% of offer for 2 consecutive quarters** and avoid concentration that could force sales.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Credit Cycle &amp; Distressed/Default Risk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Stressed/distressed investing can experience higher default incidence, legal complexity, and drawdowns during systemic shocks or if catalysts fail to materialize.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Emphasis on **senior secured/structured credit** and catalyst underwriting. Implement oversight triggers: **&gt;5% drawdown absent systemic shock** prompts review; require ongoing evidence that expected return remains **10–13% net** without undue risk-taking.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Valuation Subjectivity in Less-Liquid Assets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Non-traded/less-liquid credit instruments and claims can require model-based valuation, increasing NAV uncertainty and potential stale pricing.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Demand robust valuation governance (administrator/third-party pricing where applicable), transparent marks and write-up/write-down rationale. Reassess upon service-provider change, reduced transparency, or unexpected NAV behavior versus observable market moves.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Leverage &amp; Layered Fee Stack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Leverage (up to **33%**) can amplify volatility and drawdowns; layered fees (1.35% management + 15% NII incentive over 5% hurdle) can pressure net returns if gross performance disappoints.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Monitor leverage utilization; **reassess if leverage &gt;25% persistently** and halt/redeem if approaching **33%** without clear justification. Enforce net-return discipline: **rolling 12-month net return &lt;8%** triggers review; monitor total expense changes and reassess if **&gt;50 bps** increase.</w:t>
            </w:r>
          </w:p>
        </w:tc>
      </w:tr>
    </w:tbl>
    <w:p>
      <w:pPr>
        <w:spacing w:after="15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t xml:space="preserve">Investment Research | </w:t>
    </w: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5568"/>
        <w:sz w:val="18"/>
        <w:szCs w:val="18"/>
      </w:rPr>
      <w:t xml:space="preserve">Institutional Investment Memo - Test Portfolio uDQjp1 - February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2026-02-02T08:31:07.676Z</dcterms:created>
  <dcterms:modified xsi:type="dcterms:W3CDTF">2026-02-02T08:31:07.676Z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