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400" w:after="200"/>
      </w:pPr>
      <w:r>
        <w:t xml:space="preserve">INVESTMENT SUMMARY</w:t>
      </w:r>
    </w:p>
    <w:p>
      <w:pPr>
        <w:pBdr>
          <w:bottom w:val="single" w:color="3182CE" w:sz="6"/>
        </w:pBdr>
        <w:spacing w:before="300" w:after="150"/>
      </w:pPr>
      <w:r>
        <w:rPr>
          <w:b/>
          <w:bCs/>
          <w:color w:val="1E3A5F"/>
          <w:sz w:val="26"/>
          <w:szCs w:val="26"/>
        </w:rPr>
        <w:t xml:space="preserve">BlueBay Destra International Event-Driven Credit Fund (CEDIX)</w:t>
      </w:r>
    </w:p>
    <w:p>
      <w:pPr>
        <w:pBdr>
          <w:bottom w:val="single" w:color="3182CE" w:sz="6"/>
        </w:pBdr>
        <w:spacing w:before="300" w:after="150"/>
      </w:pPr>
      <w:r>
        <w:rPr>
          <w:b/>
          <w:bCs/>
          <w:color w:val="1E3A5F"/>
          <w:sz w:val="26"/>
          <w:szCs w:val="26"/>
        </w:rPr>
        <w:t xml:space="preserve">MANAGER SUMMARY</w:t>
      </w:r>
    </w:p>
    <w:tbl>
      <w:tblPr>
        <w:tblW w:type="pct" w:w="100%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E3A5F" w:val="clear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shd w:fill="1E3A5F" w:val="clear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pct" w:w="30%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r>
              <w:rPr>
                <w:b/>
                <w:bCs/>
                <w:color w:val="4A5568"/>
                <w:sz w:val="20"/>
                <w:szCs w:val="20"/>
              </w:rPr>
              <w:t xml:space="preserve">Inception</w:t>
            </w:r>
          </w:p>
        </w:tc>
        <w:tc>
          <w:tcPr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2020</w:t>
            </w:r>
          </w:p>
        </w:tc>
      </w:tr>
      <w:tr>
        <w:tc>
          <w:tcPr>
            <w:tcW w:type="pct" w:w="30%"/>
            <w:shd w:fill="F7FAFC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r>
              <w:rPr>
                <w:b/>
                <w:bCs/>
                <w:color w:val="4A5568"/>
                <w:sz w:val="20"/>
                <w:szCs w:val="20"/>
              </w:rPr>
              <w:t xml:space="preserve">Headquarters</w:t>
            </w:r>
          </w:p>
        </w:tc>
        <w:tc>
          <w:tcPr>
            <w:shd w:fill="F7FAFC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RBC BlueBay Asset Management (assumption: London, UK; global platform with London/Toronto/Chicago per materials)</w:t>
            </w:r>
          </w:p>
        </w:tc>
      </w:tr>
      <w:tr>
        <w:tc>
          <w:tcPr>
            <w:tcW w:type="pct" w:w="30%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r>
              <w:rPr>
                <w:b/>
                <w:bCs/>
                <w:color w:val="4A5568"/>
                <w:sz w:val="20"/>
                <w:szCs w:val="20"/>
              </w:rPr>
              <w:t xml:space="preserve">Firm Assets</w:t>
            </w:r>
          </w:p>
        </w:tc>
        <w:tc>
          <w:tcPr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~$150B global credit AUM; &gt;$40B alternative credit AUM</w:t>
            </w:r>
          </w:p>
        </w:tc>
      </w:tr>
      <w:tr>
        <w:tc>
          <w:tcPr>
            <w:tcW w:type="pct" w:w="30%"/>
            <w:shd w:fill="F7FAFC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r>
              <w:rPr>
                <w:b/>
                <w:bCs/>
                <w:color w:val="4A5568"/>
                <w:sz w:val="20"/>
                <w:szCs w:val="20"/>
              </w:rPr>
              <w:t xml:space="preserve">Fund Strategy Assets</w:t>
            </w:r>
          </w:p>
        </w:tc>
        <w:tc>
          <w:tcPr>
            <w:shd w:fill="F7FAFC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~$700MM (as of 6/30/2025)</w:t>
            </w:r>
          </w:p>
        </w:tc>
      </w:tr>
      <w:tr>
        <w:tc>
          <w:tcPr>
            <w:tcW w:type="pct" w:w="30%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r>
              <w:rPr>
                <w:b/>
                <w:bCs/>
                <w:color w:val="4A5568"/>
                <w:sz w:val="20"/>
                <w:szCs w:val="20"/>
              </w:rPr>
              <w:t xml:space="preserve">Asset Class</w:t>
            </w:r>
          </w:p>
        </w:tc>
        <w:tc>
          <w:tcPr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Private/Alternative Credit</w:t>
            </w:r>
          </w:p>
        </w:tc>
      </w:tr>
      <w:tr>
        <w:tc>
          <w:tcPr>
            <w:tcW w:type="pct" w:w="30%"/>
            <w:shd w:fill="F7FAFC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r>
              <w:rPr>
                <w:b/>
                <w:bCs/>
                <w:color w:val="4A5568"/>
                <w:sz w:val="20"/>
                <w:szCs w:val="20"/>
              </w:rPr>
              <w:t xml:space="preserve">Sub-Asset Class</w:t>
            </w:r>
          </w:p>
        </w:tc>
        <w:tc>
          <w:tcPr>
            <w:shd w:fill="F7FAFC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Global event-driven &amp; opportunistic stressed/distressed credit (interval fund)</w:t>
            </w:r>
          </w:p>
        </w:tc>
      </w:tr>
      <w:tr>
        <w:tc>
          <w:tcPr>
            <w:tcW w:type="pct" w:w="30%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r>
              <w:rPr>
                <w:b/>
                <w:bCs/>
                <w:color w:val="4A5568"/>
                <w:sz w:val="20"/>
                <w:szCs w:val="20"/>
              </w:rPr>
              <w:t xml:space="preserve">Mgmt. Fee</w:t>
            </w:r>
          </w:p>
        </w:tc>
        <w:tc>
          <w:tcPr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1.35%</w:t>
            </w:r>
          </w:p>
        </w:tc>
      </w:tr>
      <w:tr>
        <w:tc>
          <w:tcPr>
            <w:tcW w:type="pct" w:w="30%"/>
            <w:shd w:fill="F7FAFC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r>
              <w:rPr>
                <w:b/>
                <w:bCs/>
                <w:color w:val="4A5568"/>
                <w:sz w:val="20"/>
                <w:szCs w:val="20"/>
              </w:rPr>
              <w:t xml:space="preserve">Incentive Fee</w:t>
            </w:r>
          </w:p>
        </w:tc>
        <w:tc>
          <w:tcPr>
            <w:shd w:fill="F7FAFC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15% of net investment income above a 5% annual hurdle; high-water mark</w:t>
            </w:r>
          </w:p>
        </w:tc>
      </w:tr>
      <w:tr>
        <w:tc>
          <w:tcPr>
            <w:tcW w:type="pct" w:w="30%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r>
              <w:rPr>
                <w:b/>
                <w:bCs/>
                <w:color w:val="4A5568"/>
                <w:sz w:val="20"/>
                <w:szCs w:val="20"/>
              </w:rPr>
              <w:t xml:space="preserve">Fund Term</w:t>
            </w:r>
          </w:p>
        </w:tc>
        <w:tc>
          <w:tcPr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Evergreen interval fund (daily NAV; quarterly repurchase offers)</w:t>
            </w:r>
          </w:p>
        </w:tc>
      </w:tr>
      <w:tr>
        <w:tc>
          <w:tcPr>
            <w:tcW w:type="pct" w:w="30%"/>
            <w:shd w:fill="F7FAFC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r>
              <w:rPr>
                <w:b/>
                <w:bCs/>
                <w:color w:val="4A5568"/>
                <w:sz w:val="20"/>
                <w:szCs w:val="20"/>
              </w:rPr>
              <w:t xml:space="preserve">Leverage</w:t>
            </w:r>
          </w:p>
        </w:tc>
        <w:tc>
          <w:tcPr>
            <w:shd w:fill="F7FAFC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Permitted leverage up to 33% of assets</w:t>
            </w:r>
          </w:p>
        </w:tc>
      </w:tr>
    </w:tbl>
    <w:p>
      <w:pPr>
        <w:spacing w:after="200"/>
      </w:pPr>
    </w:p>
    <w:p>
      <w:pPr>
        <w:pBdr>
          <w:bottom w:val="single" w:color="3182CE" w:sz="6"/>
        </w:pBdr>
        <w:spacing w:before="300" w:after="150"/>
      </w:pPr>
      <w:r>
        <w:rPr>
          <w:b/>
          <w:bCs/>
          <w:color w:val="1E3A5F"/>
          <w:sz w:val="26"/>
          <w:szCs w:val="26"/>
        </w:rPr>
        <w:t xml:space="preserve">EXECUTIVE SUMMARY</w:t>
      </w:r>
    </w:p>
    <w:p>
      <w:pPr>
        <w:spacing w:after="120"/>
      </w:pPr>
      <w:r>
        <w:rPr>
          <w:sz w:val="22"/>
          <w:szCs w:val="22"/>
        </w:rPr>
        <w:t xml:space="preserve">BlueBay Destra International Event-Driven Credit Fund (CEDIX) is an evergreen interval fund providing access to RBC BlueBay Asset Management’s global event-driven and opportunistic credit capabilities, focused on stressed/distressed situations with identifiable catalysts (e.g., restructurings, refinancings, re-ratings, post-reorg securities). The strategy emphasizes senior secured and structured credit, targeting catalyst-driven idiosyncratic returns rather than traditional “coupon-clipping” direct lending exposure.</w:t>
      </w:r>
    </w:p>
    <w:p>
      <w:pPr>
        <w:spacing w:after="120"/>
      </w:pPr>
      <w:r>
        <w:rPr>
          <w:sz w:val="22"/>
          <w:szCs w:val="22"/>
        </w:rPr>
        <w:t xml:space="preserve">The vehicle is designed for U.S. taxable investor usability: daily NAV, quarterly repurchase offers of at least 5% of NAV (subject to proration in stressed markets), and 1099-DIV tax reporting (no K-1; no capital calls). With a stated net return objective of ~10–13% annualized and benchmarked to the Cliffwater Direct Lending Index (CDLI), the fund can serve as a diversifying complement to traditional private credit allocations, with return drivers linked to event resolution and security re-pricing.</w:t>
      </w:r>
    </w:p>
    <w:p>
      <w:pPr>
        <w:pBdr>
          <w:bottom w:val="single" w:color="3182CE" w:sz="6"/>
        </w:pBdr>
        <w:spacing w:before="300" w:after="150"/>
      </w:pPr>
      <w:r>
        <w:rPr>
          <w:b/>
          <w:bCs/>
          <w:color w:val="1E3A5F"/>
          <w:sz w:val="26"/>
          <w:szCs w:val="26"/>
        </w:rPr>
        <w:t xml:space="preserve">FIRM OVERVIEW</w:t>
      </w:r>
    </w:p>
    <w:p>
      <w:pPr>
        <w:spacing w:after="120"/>
      </w:pPr>
      <w:r>
        <w:rPr>
          <w:sz w:val="22"/>
          <w:szCs w:val="22"/>
        </w:rPr>
        <w:t xml:space="preserve">RBC BlueBay Asset Management is a global credit specialist founded in 2001 and owned by Royal Bank of Canada. The platform manages approximately $150B in global credit assets, including more than $40B in alternative credit, supporting dedicated resources across research, portfolio management, trading, and risk management. The document materials reference a multi-location operating footprint (London/Toronto/Chicago), which supports global sourcing and monitoring of complex special situations across North America and Europe.</w:t>
      </w:r>
    </w:p>
    <w:p>
      <w:pPr>
        <w:spacing w:after="120"/>
      </w:pPr>
      <w:r>
        <w:rPr>
          <w:sz w:val="22"/>
          <w:szCs w:val="22"/>
        </w:rPr>
        <w:t xml:space="preserve">Distribution and interval-fund structuring is supported by Destra Capital Advisors (U.S. distributor), which has experience in packaging semi-liquid credit strategies into registered interval fund wrappers. This structure is intended to enhance access, administration, and investor reporting relative to traditional closed-end/private fund formats, while maintaining a flexible evergreen capital base for event-driven credit deployment.</w:t>
      </w:r>
    </w:p>
    <w:p>
      <w:pPr>
        <w:pBdr>
          <w:bottom w:val="single" w:color="3182CE" w:sz="6"/>
        </w:pBdr>
        <w:spacing w:before="300" w:after="150"/>
      </w:pPr>
      <w:r>
        <w:rPr>
          <w:b/>
          <w:bCs/>
          <w:color w:val="1E3A5F"/>
          <w:sz w:val="26"/>
          <w:szCs w:val="26"/>
        </w:rPr>
        <w:t xml:space="preserve">INVESTMENT OVERVIEW</w:t>
      </w:r>
    </w:p>
    <w:p>
      <w:pPr>
        <w:spacing w:after="120"/>
      </w:pPr>
      <w:r>
        <w:rPr>
          <w:sz w:val="22"/>
          <w:szCs w:val="22"/>
        </w:rPr>
        <w:t xml:space="preserve">Core Strategy: Global event-driven and opportunistic credit investing in stressed/distressed and complex credit situations with identifiable catalysts (restructuring, refinancing, re-rating, post-reorg), utilizing a mix of performing/non-performing loans, trade claims, structured/special situations, and select post-reorg equities/preferreds.</w:t>
      </w:r>
    </w:p>
    <w:p>
      <w:pPr>
        <w:spacing w:after="120"/>
      </w:pPr>
      <w:r>
        <w:rPr>
          <w:sz w:val="22"/>
          <w:szCs w:val="22"/>
        </w:rPr>
        <w:t xml:space="preserve">Key Characteristics:</w:t>
      </w:r>
    </w:p>
    <w:p>
      <w:pPr>
        <w:spacing w:after="80"/>
        <w:ind w:left="360"/>
      </w:pPr>
      <w:r>
        <w:rPr>
          <w:sz w:val="22"/>
          <w:szCs w:val="22"/>
        </w:rPr>
        <w:t xml:space="preserve">• Core Exposure: Catalyst-driven stressed/distressed credit with a portfolio tilt toward senior secured/structured credit</w:t>
      </w:r>
    </w:p>
    <w:p>
      <w:pPr>
        <w:spacing w:after="80"/>
        <w:ind w:left="360"/>
      </w:pPr>
      <w:r>
        <w:rPr>
          <w:sz w:val="22"/>
          <w:szCs w:val="22"/>
        </w:rPr>
        <w:t xml:space="preserve">• Investment Themes: Restructuring and refinancing outcomes, post-reorganization capital structures, idiosyncratic credit re-pricing, complex/special situations</w:t>
      </w:r>
    </w:p>
    <w:p>
      <w:pPr>
        <w:spacing w:after="80"/>
        <w:ind w:left="360"/>
      </w:pPr>
      <w:r>
        <w:rPr>
          <w:sz w:val="22"/>
          <w:szCs w:val="22"/>
        </w:rPr>
        <w:t xml:space="preserve">• Geography: North America ~55%, Europe ~40%, Emerging ~5%</w:t>
      </w:r>
    </w:p>
    <w:p>
      <w:pPr>
        <w:spacing w:after="80"/>
        <w:ind w:left="360"/>
      </w:pPr>
      <w:r>
        <w:rPr>
          <w:sz w:val="22"/>
          <w:szCs w:val="22"/>
        </w:rPr>
        <w:t xml:space="preserve">• Liquidity: Evergreen interval fund; daily NAV; quarterly repurchases ≥5% of NAV (repurchases may be prorated in periods of elevated requests)</w:t>
      </w:r>
    </w:p>
    <w:p>
      <w:pPr>
        <w:spacing w:after="80"/>
        <w:ind w:left="360"/>
      </w:pPr>
      <w:r>
        <w:rPr>
          <w:sz w:val="22"/>
          <w:szCs w:val="22"/>
        </w:rPr>
        <w:t xml:space="preserve">• Benchmark: Cliffwater Direct Lending Index (CDLI)</w:t>
      </w:r>
    </w:p>
    <w:p>
      <w:pPr>
        <w:spacing w:after="80"/>
        <w:ind w:left="360"/>
      </w:pPr>
      <w:r>
        <w:rPr>
          <w:sz w:val="22"/>
          <w:szCs w:val="22"/>
        </w:rPr>
        <w:t xml:space="preserve">• Expected Return: 10–13% net annualized (target)</w:t>
      </w:r>
    </w:p>
    <w:p>
      <w:pPr>
        <w:pBdr>
          <w:bottom w:val="single" w:color="3182CE" w:sz="6"/>
        </w:pBdr>
        <w:spacing w:before="300" w:after="150"/>
      </w:pPr>
      <w:r>
        <w:rPr>
          <w:b/>
          <w:bCs/>
          <w:color w:val="1E3A5F"/>
          <w:sz w:val="26"/>
          <w:szCs w:val="26"/>
        </w:rPr>
        <w:t xml:space="preserve">REASONS TO RE-ASSESS / REDEEM</w:t>
      </w:r>
    </w:p>
    <w:p>
      <w:pPr>
        <w:spacing w:before="200" w:after="100"/>
      </w:pPr>
      <w:r>
        <w:rPr>
          <w:b/>
          <w:bCs/>
          <w:color w:val="2C5282"/>
          <w:sz w:val="22"/>
          <w:szCs w:val="22"/>
        </w:rPr>
        <w:t xml:space="preserve">Performance &amp; Risk Metrics</w:t>
      </w:r>
    </w:p>
    <w:p>
      <w:pPr>
        <w:spacing w:after="80"/>
        <w:ind w:left="360"/>
      </w:pPr>
      <w:r>
        <w:rPr>
          <w:sz w:val="22"/>
          <w:szCs w:val="22"/>
        </w:rPr>
        <w:t xml:space="preserve">• Underperformance: Rolling 12-month net return **&lt; 8%** versus stated objectives and/or peer event-driven credit alternatives.</w:t>
      </w:r>
    </w:p>
    <w:p>
      <w:pPr>
        <w:spacing w:after="80"/>
        <w:ind w:left="360"/>
      </w:pPr>
      <w:r>
        <w:rPr>
          <w:sz w:val="22"/>
          <w:szCs w:val="22"/>
        </w:rPr>
        <w:t xml:space="preserve">• Drawdown control: Any **&gt; 5% NAV drawdown** **absent a broad systemic credit shock** warrants formal review of positioning, liquidity, and valuation marks.</w:t>
      </w:r>
    </w:p>
    <w:p>
      <w:pPr>
        <w:spacing w:after="80"/>
        <w:ind w:left="360"/>
      </w:pPr>
      <w:r>
        <w:rPr>
          <w:sz w:val="22"/>
          <w:szCs w:val="22"/>
        </w:rPr>
        <w:t xml:space="preserve">• Risk-adjusted deterioration (assumption due to “risk metrics not available”): If trailing 12-month return remains **&lt; 8%** while experiencing **&gt;5%** peak-to-trough drawdown (same period), reassess manager’s event selection and downside control.</w:t>
      </w:r>
    </w:p>
    <w:p>
      <w:pPr>
        <w:spacing w:before="200" w:after="100"/>
      </w:pPr>
      <w:r>
        <w:rPr>
          <w:b/>
          <w:bCs/>
          <w:color w:val="2C5282"/>
          <w:sz w:val="22"/>
          <w:szCs w:val="22"/>
        </w:rPr>
        <w:t xml:space="preserve">Portfolio Composition / Strategy Drift</w:t>
      </w:r>
    </w:p>
    <w:p>
      <w:pPr>
        <w:spacing w:after="80"/>
        <w:ind w:left="360"/>
      </w:pPr>
      <w:r>
        <w:rPr>
          <w:sz w:val="22"/>
          <w:szCs w:val="22"/>
        </w:rPr>
        <w:t xml:space="preserve">• Event-driven exposure: Event-driven allocations falling **below 60%** indicates style drift from the stated core return driver.</w:t>
      </w:r>
    </w:p>
    <w:p>
      <w:pPr>
        <w:spacing w:after="80"/>
        <w:ind w:left="360"/>
      </w:pPr>
      <w:r>
        <w:rPr>
          <w:sz w:val="22"/>
          <w:szCs w:val="22"/>
        </w:rPr>
        <w:t xml:space="preserve">• Seniority profile: First-lien / senior secured exposure falling **below 65%** indicates unintended migration down the capital structure and warrants review.</w:t>
      </w:r>
    </w:p>
    <w:p>
      <w:pPr>
        <w:spacing w:after="80"/>
        <w:ind w:left="360"/>
      </w:pPr>
      <w:r>
        <w:rPr>
          <w:sz w:val="22"/>
          <w:szCs w:val="22"/>
        </w:rPr>
        <w:t xml:space="preserve">• Concentration (assumption): If top-10 positions exceed **35% of NAV** or any single issuer exceeds **7.5% of NAV**, reassess idiosyncratic risk budgeting given semi-liquid structure.</w:t>
      </w:r>
    </w:p>
    <w:p>
      <w:pPr>
        <w:spacing w:before="200" w:after="100"/>
      </w:pPr>
      <w:r>
        <w:rPr>
          <w:b/>
          <w:bCs/>
          <w:color w:val="2C5282"/>
          <w:sz w:val="22"/>
          <w:szCs w:val="22"/>
        </w:rPr>
        <w:t xml:space="preserve">Liquidity &amp; Leverage</w:t>
      </w:r>
    </w:p>
    <w:p>
      <w:pPr>
        <w:spacing w:after="80"/>
        <w:ind w:left="360"/>
      </w:pPr>
      <w:r>
        <w:rPr>
          <w:sz w:val="22"/>
          <w:szCs w:val="22"/>
        </w:rPr>
        <w:t xml:space="preserve">• Redemption stress: Repurchase requests **&gt;200% of the quarterly offer amount for 2 consecutive quarters** signals elevated liquidity pressure and potential proration risk.</w:t>
      </w:r>
    </w:p>
    <w:p>
      <w:pPr>
        <w:spacing w:after="80"/>
        <w:ind w:left="360"/>
      </w:pPr>
      <w:r>
        <w:rPr>
          <w:sz w:val="22"/>
          <w:szCs w:val="22"/>
        </w:rPr>
        <w:t xml:space="preserve">• Leverage creep: If fund leverage approaches the stated limit (review threshold at **&gt;30%** of assets; hard limit **33%**), reassess refinancing risk, margin/financing terms, and forced-seller risk.</w:t>
      </w:r>
    </w:p>
    <w:p>
      <w:pPr>
        <w:spacing w:before="200" w:after="100"/>
      </w:pPr>
      <w:r>
        <w:rPr>
          <w:b/>
          <w:bCs/>
          <w:color w:val="2C5282"/>
          <w:sz w:val="22"/>
          <w:szCs w:val="22"/>
        </w:rPr>
        <w:t xml:space="preserve">Governance / Process Concerns</w:t>
      </w:r>
    </w:p>
    <w:p>
      <w:pPr>
        <w:spacing w:after="80"/>
        <w:ind w:left="360"/>
      </w:pPr>
      <w:r>
        <w:rPr>
          <w:sz w:val="22"/>
          <w:szCs w:val="22"/>
        </w:rPr>
        <w:t xml:space="preserve">• Expense/fee creep: All-in expense load increasing by **&gt;50 bps** (as cited in monitoring triggers) without a commensurate improvement in expected net returns prompts reassessment.</w:t>
      </w:r>
    </w:p>
    <w:p>
      <w:pPr>
        <w:spacing w:after="80"/>
        <w:ind w:left="360"/>
      </w:pPr>
      <w:r>
        <w:rPr>
          <w:sz w:val="22"/>
          <w:szCs w:val="22"/>
        </w:rPr>
        <w:t xml:space="preserve">• Organizational change (assumption-based threshold): Any unexpected departure of lead PM(s) or key credit/event-driven decision makers without an identified, experienced successor triggers immediate review and potential redemption at next available window.</w:t>
      </w:r>
    </w:p>
    <w:p>
      <w:pPr>
        <w:spacing w:after="80"/>
        <w:ind w:left="360"/>
      </w:pPr>
      <w:r>
        <w:rPr>
          <w:sz w:val="22"/>
          <w:szCs w:val="22"/>
        </w:rPr>
        <w:t xml:space="preserve">• Transparency: Material reduction in position-level disclosure, liquidity reporting, or valuation methodology detail for non-traded assets triggers escalation.</w:t>
      </w:r>
    </w:p>
    <w:p>
      <w:pPr>
        <w:spacing w:before="200" w:after="100"/>
      </w:pPr>
      <w:r>
        <w:rPr>
          <w:b/>
          <w:bCs/>
          <w:color w:val="2C5282"/>
          <w:sz w:val="22"/>
          <w:szCs w:val="22"/>
        </w:rPr>
        <w:t xml:space="preserve">Market/Macro Context</w:t>
      </w:r>
    </w:p>
    <w:p>
      <w:pPr>
        <w:spacing w:after="80"/>
        <w:ind w:left="360"/>
      </w:pPr>
      <w:r>
        <w:rPr>
          <w:sz w:val="22"/>
          <w:szCs w:val="22"/>
        </w:rPr>
        <w:t xml:space="preserve">• Opportunity set impairment: Sustained environment where restructuring/refinancing catalysts materially decline and spreads compress such that forward-looking net return expectations fall **below ~8%** (reassessed quarterly) may reduce the strategy’s efficacy relative to simpler direct lending.</w:t>
      </w:r>
    </w:p>
    <w:p>
      <w:pPr>
        <w:pBdr>
          <w:bottom w:val="single" w:color="3182CE" w:sz="6"/>
        </w:pBdr>
        <w:spacing w:before="300" w:after="150"/>
      </w:pPr>
      <w:r>
        <w:rPr>
          <w:b/>
          <w:bCs/>
          <w:color w:val="1E3A5F"/>
          <w:sz w:val="26"/>
          <w:szCs w:val="26"/>
        </w:rPr>
        <w:t xml:space="preserve">INVESTMENT MERITS</w:t>
      </w:r>
    </w:p>
    <w:p>
      <w:pPr>
        <w:spacing w:after="120"/>
      </w:pPr>
      <w:r>
        <w:rPr>
          <w:sz w:val="22"/>
          <w:szCs w:val="22"/>
        </w:rPr>
        <w:t xml:space="preserve">1. Catalyst-Driven Alpha vs. Traditional Direct Lending: The strategy targets stressed/distressed situations with identifiable events (restructuring, refinancing, re-rating), aiming to monetize security repricing upon resolution rather than relying primarily on contractual carry.</w:t>
      </w:r>
    </w:p>
    <w:p>
      <w:pPr>
        <w:spacing w:after="120"/>
      </w:pPr>
      <w:r>
        <w:rPr>
          <w:sz w:val="22"/>
          <w:szCs w:val="22"/>
        </w:rPr>
        <w:t xml:space="preserve">2. Senior Secured/Structured Credit Tilt to Protect Downside: Portfolio construction emphasizes senior secured and structured exposures, which typically sit higher in the capital structure and may offer improved recovery characteristics versus unsecured or equity-like distressed strategies.</w:t>
      </w:r>
    </w:p>
    <w:p>
      <w:pPr>
        <w:spacing w:after="120"/>
      </w:pPr>
      <w:r>
        <w:rPr>
          <w:sz w:val="22"/>
          <w:szCs w:val="22"/>
        </w:rPr>
        <w:t xml:space="preserve">3. Global Sourcing Across North America and Europe: With a stated geographic mix of ~55% North America and ~40% Europe, the strategy can pursue relative value and idiosyncratic catalysts across jurisdictions, potentially increasing breadth of actionable opportunities.</w:t>
      </w:r>
    </w:p>
    <w:p>
      <w:pPr>
        <w:spacing w:after="120"/>
      </w:pPr>
      <w:r>
        <w:rPr>
          <w:sz w:val="22"/>
          <w:szCs w:val="22"/>
        </w:rPr>
        <w:t xml:space="preserve">4. Evergreen Interval Fund Access with Investor-Friendly Tax Reporting: Daily NAV, quarterly repurchases (≥5%), and 1099-DIV reporting (no K-1; no capital calls) improves operational simplicity for U.S. taxable investors while maintaining an evergreen capital base for event timelines.</w:t>
      </w:r>
    </w:p>
    <w:p>
      <w:pPr>
        <w:spacing w:after="120"/>
      </w:pPr>
      <w:r>
        <w:rPr>
          <w:sz w:val="22"/>
          <w:szCs w:val="22"/>
        </w:rPr>
        <w:t xml:space="preserve">5. Scaled Credit Specialist Platform: RBC BlueBay’s ~$150B global credit platform and &gt;$40B in alternative credit provide research depth, trading infrastructure, and risk oversight to support complex, non-traditional credit underwriting and monitoring.</w:t>
      </w:r>
    </w:p>
    <w:p>
      <w:pPr>
        <w:pBdr>
          <w:bottom w:val="single" w:color="3182CE" w:sz="6"/>
        </w:pBdr>
        <w:spacing w:before="300" w:after="150"/>
      </w:pPr>
      <w:r>
        <w:rPr>
          <w:b/>
          <w:bCs/>
          <w:color w:val="1E3A5F"/>
          <w:sz w:val="26"/>
          <w:szCs w:val="26"/>
        </w:rPr>
        <w:t xml:space="preserve">INVESTMENT RISKS &amp; MITIGANTS</w:t>
      </w:r>
    </w:p>
    <w:p>
      <w:pPr>
        <w:spacing w:before="200" w:after="100"/>
      </w:pPr>
      <w:r>
        <w:rPr>
          <w:b/>
          <w:bCs/>
          <w:color w:val="2C5282"/>
          <w:sz w:val="22"/>
          <w:szCs w:val="22"/>
        </w:rPr>
        <w:t xml:space="preserve">Interval Fund Liquidity / Repurchase Proration</w:t>
      </w:r>
    </w:p>
    <w:tbl>
      <w:tblPr>
        <w:tblW w:type="pct" w:w="100%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0%"/>
            <w:shd w:fill="1E3A5F" w:val="clear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r>
              <w:rPr>
                <w:sz w:val="20"/>
                <w:szCs w:val="20"/>
              </w:rPr>
              <w:t xml:space="preserve">Quarterly repurchases (≥5%) can be prorated during periods of heavy redemption demand, creating uncertain liquidity precisely when investors may want to de-risk.</w:t>
            </w:r>
          </w:p>
        </w:tc>
      </w:tr>
      <w:tr>
        <w:tc>
          <w:tcPr>
            <w:shd w:fill="2C5282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Mitigant</w:t>
            </w:r>
          </w:p>
        </w:tc>
        <w:tc>
          <w:tcPr>
            <w:shd w:fill="F7FAFC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r>
              <w:rPr>
                <w:sz w:val="20"/>
                <w:szCs w:val="20"/>
              </w:rPr>
              <w:t xml:space="preserve">Monitor repurchase demand; reassess if requests exceed **200% of the offer amount for 2 consecutive quarters**. Size allocations assuming multi-quarter exit timelines and avoid funding near-term liabilities with this exposure.</w:t>
            </w:r>
          </w:p>
        </w:tc>
      </w:tr>
    </w:tbl>
    <w:p>
      <w:pPr>
        <w:spacing w:after="150"/>
      </w:pPr>
    </w:p>
    <w:p>
      <w:pPr>
        <w:spacing w:before="200" w:after="100"/>
      </w:pPr>
      <w:r>
        <w:rPr>
          <w:b/>
          <w:bCs/>
          <w:color w:val="2C5282"/>
          <w:sz w:val="22"/>
          <w:szCs w:val="22"/>
        </w:rPr>
        <w:t xml:space="preserve">Credit Cycle / Distressed Opportunity Risk</w:t>
      </w:r>
    </w:p>
    <w:tbl>
      <w:tblPr>
        <w:tblW w:type="pct" w:w="100%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0%"/>
            <w:shd w:fill="1E3A5F" w:val="clear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r>
              <w:rPr>
                <w:sz w:val="20"/>
                <w:szCs w:val="20"/>
              </w:rPr>
              <w:t xml:space="preserve">Defaults, recoveries, and restructuring outcomes are path-dependent; a severe credit downturn can widen spreads and pressure marks, while benign markets can reduce the supply of attractive event-driven opportunities.</w:t>
            </w:r>
          </w:p>
        </w:tc>
      </w:tr>
      <w:tr>
        <w:tc>
          <w:tcPr>
            <w:shd w:fill="2C5282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Mitigant</w:t>
            </w:r>
          </w:p>
        </w:tc>
        <w:tc>
          <w:tcPr>
            <w:shd w:fill="F7FAFC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r>
              <w:rPr>
                <w:sz w:val="20"/>
                <w:szCs w:val="20"/>
              </w:rPr>
              <w:t xml:space="preserve">Reassess if rolling 12-month net performance falls **&lt;8%** or if NAV drawdown exceeds **5%** absent systemic shock; require updated pipeline and catalyst calendar to validate forward opportunity set and expected return (&gt;~8% net).</w:t>
            </w:r>
          </w:p>
        </w:tc>
      </w:tr>
    </w:tbl>
    <w:p>
      <w:pPr>
        <w:spacing w:after="150"/>
      </w:pPr>
    </w:p>
    <w:p>
      <w:pPr>
        <w:spacing w:before="200" w:after="100"/>
      </w:pPr>
      <w:r>
        <w:rPr>
          <w:b/>
          <w:bCs/>
          <w:color w:val="2C5282"/>
          <w:sz w:val="22"/>
          <w:szCs w:val="22"/>
        </w:rPr>
        <w:t xml:space="preserve">Leverage and Financing Risk</w:t>
      </w:r>
    </w:p>
    <w:tbl>
      <w:tblPr>
        <w:tblW w:type="pct" w:w="100%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0%"/>
            <w:shd w:fill="1E3A5F" w:val="clear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r>
              <w:rPr>
                <w:sz w:val="20"/>
                <w:szCs w:val="20"/>
              </w:rPr>
              <w:t xml:space="preserve">Fund-level leverage (permitted up to **33%** of assets) can amplify drawdowns and may introduce refinancing/margin risks in volatile markets.</w:t>
            </w:r>
          </w:p>
        </w:tc>
      </w:tr>
      <w:tr>
        <w:tc>
          <w:tcPr>
            <w:shd w:fill="2C5282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Mitigant</w:t>
            </w:r>
          </w:p>
        </w:tc>
        <w:tc>
          <w:tcPr>
            <w:shd w:fill="F7FAFC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r>
              <w:rPr>
                <w:sz w:val="20"/>
                <w:szCs w:val="20"/>
              </w:rPr>
              <w:t xml:space="preserve">Implement a review trigger at **&gt;30%** leverage and a hard constraint at **33%**; require disclosure of financing terms, lender diversification, and stress tests showing capacity to meet obligations under spread-widening scenarios.</w:t>
            </w:r>
          </w:p>
        </w:tc>
      </w:tr>
    </w:tbl>
    <w:p>
      <w:pPr>
        <w:spacing w:after="150"/>
      </w:pPr>
    </w:p>
    <w:p>
      <w:pPr>
        <w:spacing w:before="200" w:after="100"/>
      </w:pPr>
      <w:r>
        <w:rPr>
          <w:b/>
          <w:bCs/>
          <w:color w:val="2C5282"/>
          <w:sz w:val="22"/>
          <w:szCs w:val="22"/>
        </w:rPr>
        <w:t xml:space="preserve">Valuation Subjectivity / Complex Instruments</w:t>
      </w:r>
    </w:p>
    <w:tbl>
      <w:tblPr>
        <w:tblW w:type="pct" w:w="100%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0%"/>
            <w:shd w:fill="1E3A5F" w:val="clear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r>
              <w:rPr>
                <w:sz w:val="20"/>
                <w:szCs w:val="20"/>
              </w:rPr>
              <w:t xml:space="preserve">Non-traded or less liquid positions (e.g., trade claims, special situations, structured credit) can be difficult to price, increasing valuation error risk and NAV volatility.</w:t>
            </w:r>
          </w:p>
        </w:tc>
      </w:tr>
      <w:tr>
        <w:tc>
          <w:tcPr>
            <w:shd w:fill="2C5282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Mitigant</w:t>
            </w:r>
          </w:p>
        </w:tc>
        <w:tc>
          <w:tcPr>
            <w:shd w:fill="F7FAFC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r>
              <w:rPr>
                <w:sz w:val="20"/>
                <w:szCs w:val="20"/>
              </w:rPr>
              <w:t xml:space="preserve">Escalate diligence if transparency declines or if unexplained NAV moves occur; require consistent valuation policy disclosures and third-party/independent oversight where applicable (assumption: standard interval-fund governance), and review if drawdowns exceed **5%** without corresponding market moves.</w:t>
            </w:r>
          </w:p>
        </w:tc>
      </w:tr>
    </w:tbl>
    <w:p>
      <w:pPr>
        <w:spacing w:after="150"/>
      </w:pPr>
    </w:p>
    <w:p>
      <w:pPr>
        <w:spacing w:before="200" w:after="100"/>
      </w:pPr>
      <w:r>
        <w:rPr>
          <w:b/>
          <w:bCs/>
          <w:color w:val="2C5282"/>
          <w:sz w:val="22"/>
          <w:szCs w:val="22"/>
        </w:rPr>
        <w:t xml:space="preserve">Fee Load / Net Return Compression</w:t>
      </w:r>
    </w:p>
    <w:tbl>
      <w:tblPr>
        <w:tblW w:type="pct" w:w="100%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0%"/>
            <w:shd w:fill="1E3A5F" w:val="clear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r>
              <w:rPr>
                <w:sz w:val="20"/>
                <w:szCs w:val="20"/>
              </w:rPr>
              <w:t xml:space="preserve">Layered fee structure (1.35% management fee plus 15% incentive on NII above 5% hurdle) can reduce net returns, particularly in lower-yield environments or during slower catalyst realization.</w:t>
            </w:r>
          </w:p>
        </w:tc>
      </w:tr>
      <w:tr>
        <w:tc>
          <w:tcPr>
            <w:shd w:fill="2C5282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Mitigant</w:t>
            </w:r>
          </w:p>
        </w:tc>
        <w:tc>
          <w:tcPr>
            <w:shd w:fill="F7FAFC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r>
              <w:rPr>
                <w:sz w:val="20"/>
                <w:szCs w:val="20"/>
              </w:rPr>
              <w:t xml:space="preserve">Reassess if total expenses increase by **&gt;50 bps** or if forward-looking net return expectation falls **&lt;8%**; confirm incentive mechanics (high-water mark; NII definition) and validate that gross return potential supports the 10–13% net target.</w:t>
            </w:r>
          </w:p>
        </w:tc>
      </w:tr>
    </w:tbl>
    <w:p>
      <w:pPr>
        <w:spacing w:after="150"/>
      </w:pP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A5568"/>
        <w:sz w:val="16"/>
        <w:szCs w:val="16"/>
      </w:rPr>
      <w:t xml:space="preserve">Investment Research | </w:t>
    </w:r>
    <w:r>
      <w:rPr>
        <w:color w:val="4A5568"/>
        <w:sz w:val="16"/>
        <w:szCs w:val="16"/>
      </w:rPr>
      <w:t xml:space="preserve">Page </w:t>
    </w:r>
    <w:r>
      <w:rPr>
        <w:color w:val="4A556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4A5568"/>
        <w:sz w:val="18"/>
        <w:szCs w:val="18"/>
      </w:rPr>
      <w:t xml:space="preserve">Institutional Investment Memo - Test Portfolio uDQjp1 - February 2,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</w:pPr>
    <w:rPr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</w:pPr>
    <w:rPr>
      <w:b/>
      <w:bCs/>
      <w:color w:val="2C5282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2026-02-02T08:31:17.347Z</dcterms:created>
  <dcterms:modified xsi:type="dcterms:W3CDTF">2026-02-02T08:31:17.347Z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