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INVESTMENT SUMMARY</w:t>
      </w: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BlueBay Destra International Event-Driven Credit Fund (CEDIX)</w:t>
      </w: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MANAGER SUMMARY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E3A5F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shd w:fill="1E3A5F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pct" w:w="30%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Inception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2020</w:t>
            </w:r>
          </w:p>
        </w:tc>
      </w:tr>
      <w:tr>
        <w:tc>
          <w:tcPr>
            <w:tcW w:type="pct" w:w="30%"/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Headquarters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London, UK (RBC BlueBay Asset Management); multi-location platform including Toronto and Chicago *(as cited in materials; primary HQ assumed London based on BlueBay’s historical base)*</w:t>
            </w:r>
          </w:p>
        </w:tc>
      </w:tr>
      <w:tr>
        <w:tc>
          <w:tcPr>
            <w:tcW w:type="pct" w:w="30%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Firm Assets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~$150B global credit AUM; &gt;$40B alternative credit</w:t>
            </w:r>
          </w:p>
        </w:tc>
      </w:tr>
      <w:tr>
        <w:tc>
          <w:tcPr>
            <w:tcW w:type="pct" w:w="30%"/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Fund Strategy Assets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~$700MM (as of 6/30/2025)</w:t>
            </w:r>
          </w:p>
        </w:tc>
      </w:tr>
      <w:tr>
        <w:tc>
          <w:tcPr>
            <w:tcW w:type="pct" w:w="30%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Asset Class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Credit / Alternative Credit</w:t>
            </w:r>
          </w:p>
        </w:tc>
      </w:tr>
      <w:tr>
        <w:tc>
          <w:tcPr>
            <w:tcW w:type="pct" w:w="30%"/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Sub-Asset Class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Global event-driven &amp; opportunistic (stressed/distressed) credit</w:t>
            </w:r>
          </w:p>
        </w:tc>
      </w:tr>
      <w:tr>
        <w:tc>
          <w:tcPr>
            <w:tcW w:type="pct" w:w="30%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Mgmt. Fee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1.35%</w:t>
            </w:r>
          </w:p>
        </w:tc>
      </w:tr>
      <w:tr>
        <w:tc>
          <w:tcPr>
            <w:tcW w:type="pct" w:w="30%"/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Incentive Fee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15% of net investment income above a 5% annual hurdle; high-water mark</w:t>
            </w:r>
          </w:p>
        </w:tc>
      </w:tr>
      <w:tr>
        <w:tc>
          <w:tcPr>
            <w:tcW w:type="pct" w:w="30%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Fund Term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Evergreen interval fund (daily NAV; quarterly repurchases)</w:t>
            </w:r>
          </w:p>
        </w:tc>
      </w:tr>
      <w:tr>
        <w:tc>
          <w:tcPr>
            <w:tcW w:type="pct" w:w="30%"/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4A5568"/>
                <w:sz w:val="20"/>
                <w:szCs w:val="20"/>
              </w:rPr>
              <w:t xml:space="preserve">Leverage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color w:val="1A202C"/>
                <w:sz w:val="20"/>
                <w:szCs w:val="20"/>
              </w:rPr>
              <w:t xml:space="preserve">Permitted up to 33% of assets</w:t>
            </w:r>
          </w:p>
        </w:tc>
      </w:tr>
    </w:tbl>
    <w:p>
      <w:pPr>
        <w:spacing w:after="200"/>
      </w:pP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BlueBay Destra International Event-Driven Credit Fund (CEDIX) is an evergreen, semi-liquid interval fund providing access to RBC BlueBay’s global event-driven and opportunistic credit platform. The strategy targets stressed and distressed credit situations with identifiable catalysts (e.g., restructurings, refinancings, re-ratings, post-reorganization securities), with an emphasis on senior secured and structured credit intended to generate catalyst-driven alpha rather than “clip-the-coupon” direct lending returns.</w:t>
      </w:r>
    </w:p>
    <w:p>
      <w:pPr>
        <w:spacing w:after="120"/>
      </w:pPr>
      <w:r>
        <w:rPr>
          <w:sz w:val="22"/>
          <w:szCs w:val="22"/>
        </w:rPr>
        <w:t xml:space="preserve">The fund is designed for taxable U.S. investors seeking differentiated credit exposure with improved operational usability versus traditional private funds: daily NAV, quarterly repurchase offers (minimum 5% of NAV), and 1099 reporting (no K-1; no capital calls). The manager targets 10–13% net annualized returns, benchmarked to the Cliffwater Direct Lending Index (CDLI), with the recognition that outcomes are likely to be more episodic and credit-cycle dependent given the stressed/distressed opportunity set.</w:t>
      </w: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FIRM OVERVIEW</w:t>
      </w:r>
    </w:p>
    <w:p>
      <w:pPr>
        <w:spacing w:after="120"/>
      </w:pPr>
      <w:r>
        <w:rPr>
          <w:sz w:val="22"/>
          <w:szCs w:val="22"/>
        </w:rPr>
        <w:t xml:space="preserve">RBC BlueBay Asset Management is a global credit specialist founded in 2001 and owned by Royal Bank of Canada. The platform manages approximately $150B in global credit AUM, including more than $40B in alternative credit, supporting institutional-grade sourcing, underwriting, and risk management across geographies and capital structures. The fund’s U.S. interval-fund distribution is supported by Destra Capital Advisors, a specialist in interval fund wrappers and U.S. wealth channels.</w:t>
      </w:r>
    </w:p>
    <w:p>
      <w:pPr>
        <w:spacing w:after="120"/>
      </w:pPr>
      <w:r>
        <w:rPr>
          <w:sz w:val="22"/>
          <w:szCs w:val="22"/>
        </w:rPr>
        <w:t xml:space="preserve">Competitive advantages highlighted in the diligence materials include (i) global sourcing capability across North America and Europe, (ii) specialization in complex/less efficient credit situations where process and legal structuring matter, and (iii) an evergreen structure that can retain capital through multi-quarter realizations typical in restructurings and catalyst-driven situations. The strategy assets are approximately $700MM as of 6/30/2025, providing meaningful scale while remaining potentially nimble within stressed/distressed niches.</w:t>
      </w: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INVESTMENT OVERVIEW</w:t>
      </w:r>
    </w:p>
    <w:p>
      <w:pPr>
        <w:spacing w:after="120"/>
      </w:pPr>
      <w:r>
        <w:rPr>
          <w:sz w:val="22"/>
          <w:szCs w:val="22"/>
        </w:rPr>
        <w:t xml:space="preserve">Core Strategy: Global event-driven and opportunistic credit investing in stressed/distressed and complex credit situations with identifiable catalysts (restructuring, refinancing, re-rating), across performing and non-performing instruments, including potential post-reorganization securities.</w:t>
      </w:r>
    </w:p>
    <w:p>
      <w:pPr>
        <w:spacing w:after="120"/>
      </w:pPr>
      <w:r>
        <w:rPr>
          <w:sz w:val="22"/>
          <w:szCs w:val="22"/>
        </w:rPr>
        <w:t xml:space="preserve">Key Characteristics:</w:t>
      </w:r>
    </w:p>
    <w:p>
      <w:pPr>
        <w:spacing w:after="80"/>
        <w:ind w:left="360"/>
      </w:pPr>
      <w:r>
        <w:rPr>
          <w:sz w:val="22"/>
          <w:szCs w:val="22"/>
        </w:rPr>
        <w:t xml:space="preserve">• Core Exposure: Senior secured / structured credit with catalyst-driven total return orientation</w:t>
      </w:r>
    </w:p>
    <w:p>
      <w:pPr>
        <w:spacing w:after="80"/>
        <w:ind w:left="360"/>
      </w:pPr>
      <w:r>
        <w:rPr>
          <w:sz w:val="22"/>
          <w:szCs w:val="22"/>
        </w:rPr>
        <w:t xml:space="preserve">• Investment Themes: Restructurings, refinancings, liability management, re-rating opportunities, post-reorg capital structures *(themes inferred directly from “identifiable catalysts” cited)*</w:t>
      </w:r>
    </w:p>
    <w:p>
      <w:pPr>
        <w:spacing w:after="80"/>
        <w:ind w:left="360"/>
      </w:pPr>
      <w:r>
        <w:rPr>
          <w:sz w:val="22"/>
          <w:szCs w:val="22"/>
        </w:rPr>
        <w:t xml:space="preserve">• Geography: North America ~55%, Europe ~40%, Emerging ~5%</w:t>
      </w:r>
    </w:p>
    <w:p>
      <w:pPr>
        <w:spacing w:after="80"/>
        <w:ind w:left="360"/>
      </w:pPr>
      <w:r>
        <w:rPr>
          <w:sz w:val="22"/>
          <w:szCs w:val="22"/>
        </w:rPr>
        <w:t xml:space="preserve">• Liquidity: Evergreen interval fund; daily NAV; quarterly repurchases (≥5% of NAV), subject to proration in periods of elevated redemption demand</w:t>
      </w:r>
    </w:p>
    <w:p>
      <w:pPr>
        <w:spacing w:after="80"/>
        <w:ind w:left="360"/>
      </w:pPr>
      <w:r>
        <w:rPr>
          <w:sz w:val="22"/>
          <w:szCs w:val="22"/>
        </w:rPr>
        <w:t xml:space="preserve">• Benchmark: Cliffwater Direct Lending Index (CDLI)</w:t>
      </w:r>
    </w:p>
    <w:p>
      <w:pPr>
        <w:spacing w:after="80"/>
        <w:ind w:left="360"/>
      </w:pPr>
      <w:r>
        <w:rPr>
          <w:sz w:val="22"/>
          <w:szCs w:val="22"/>
        </w:rPr>
        <w:t xml:space="preserve">• Expected Return: 10–13% net annualized</w:t>
      </w: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REASONS TO RE-ASSESS / REDEEM</w:t>
      </w: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Performance &amp; Risk Metrics</w:t>
      </w:r>
    </w:p>
    <w:p>
      <w:pPr>
        <w:spacing w:after="80"/>
        <w:ind w:left="360"/>
      </w:pPr>
      <w:r>
        <w:rPr>
          <w:sz w:val="22"/>
          <w:szCs w:val="22"/>
        </w:rPr>
        <w:t xml:space="preserve">• **Underperformance trigger:** Rolling 12-month net return **&lt; 8%** (manager’s stated monitoring threshold).</w:t>
      </w:r>
    </w:p>
    <w:p>
      <w:pPr>
        <w:spacing w:after="80"/>
        <w:ind w:left="360"/>
      </w:pPr>
      <w:r>
        <w:rPr>
          <w:sz w:val="22"/>
          <w:szCs w:val="22"/>
        </w:rPr>
        <w:t xml:space="preserve">• **Drawdown trigger:** **&gt; 5% peak-to-trough drawdown** in NAV **absent a systemic credit shock** (manager’s stated monitoring threshold).</w:t>
      </w:r>
    </w:p>
    <w:p>
      <w:pPr>
        <w:spacing w:after="80"/>
        <w:ind w:left="360"/>
      </w:pPr>
      <w:r>
        <w:rPr>
          <w:sz w:val="22"/>
          <w:szCs w:val="22"/>
        </w:rPr>
        <w:t xml:space="preserve">• **Risk metric limitation:** Fund risk metrics were not provided in the materials; **reassess** if reporting does not include, at minimum, monthly return series, drawdown statistics, and leverage utilization within **two consecutive quarters** *(reasonable reporting expectation for interval funds)*.</w:t>
      </w: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Portfolio Composition / Strategy Drift</w:t>
      </w:r>
    </w:p>
    <w:p>
      <w:pPr>
        <w:spacing w:after="80"/>
        <w:ind w:left="360"/>
      </w:pPr>
      <w:r>
        <w:rPr>
          <w:sz w:val="22"/>
          <w:szCs w:val="22"/>
        </w:rPr>
        <w:t xml:space="preserve">• **Event-driven exposure:** Reassess if **event-driven positions fall below 60%** of portfolio (stated trigger).</w:t>
      </w:r>
    </w:p>
    <w:p>
      <w:pPr>
        <w:spacing w:after="80"/>
        <w:ind w:left="360"/>
      </w:pPr>
      <w:r>
        <w:rPr>
          <w:sz w:val="22"/>
          <w:szCs w:val="22"/>
        </w:rPr>
        <w:t xml:space="preserve">• **Seniority profile:** Reassess if **first-lien exposure falls below 65%** (stated trigger).</w:t>
      </w:r>
    </w:p>
    <w:p>
      <w:pPr>
        <w:spacing w:after="80"/>
        <w:ind w:left="360"/>
      </w:pPr>
      <w:r>
        <w:rPr>
          <w:sz w:val="22"/>
          <w:szCs w:val="22"/>
        </w:rPr>
        <w:t xml:space="preserve">• **Style consistency:** Reassess if portfolio materially shifts toward “coupon-clipping” direct lending without catalysts, evidenced by declining realized catalyst events and increasing spread-only carry *(qualitative indicator aligned with stated philosophy)*.</w:t>
      </w: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Liquidity &amp; Leverage</w:t>
      </w:r>
    </w:p>
    <w:p>
      <w:pPr>
        <w:spacing w:after="80"/>
        <w:ind w:left="360"/>
      </w:pPr>
      <w:r>
        <w:rPr>
          <w:sz w:val="22"/>
          <w:szCs w:val="22"/>
        </w:rPr>
        <w:t xml:space="preserve">• **Redemption pressure:** Reassess/redeem if repurchase requests exceed **200% of the quarterly offer amount** for **two consecutive quarters** (stated trigger), indicating persistent liquidity mismatch.</w:t>
      </w:r>
    </w:p>
    <w:p>
      <w:pPr>
        <w:spacing w:after="80"/>
        <w:ind w:left="360"/>
      </w:pPr>
      <w:r>
        <w:rPr>
          <w:sz w:val="22"/>
          <w:szCs w:val="22"/>
        </w:rPr>
        <w:t xml:space="preserve">• **Leverage creep:** Reassess if fund leverage is managed near the stated cap and/or policy changes allow leverage **&gt;33% of assets** (stated cap) or sustained utilization above **25%** for multiple quarters *(25% is an assumed internal risk threshold given a 33% maximum; noted as an assumption)*.</w:t>
      </w: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Governance / Process Concerns</w:t>
      </w:r>
    </w:p>
    <w:p>
      <w:pPr>
        <w:spacing w:after="80"/>
        <w:ind w:left="360"/>
      </w:pPr>
      <w:r>
        <w:rPr>
          <w:sz w:val="22"/>
          <w:szCs w:val="22"/>
        </w:rPr>
        <w:t xml:space="preserve">• **Fee creep:** Reassess if total expenses increase by **&gt;50 bps** (stated trigger).</w:t>
      </w:r>
    </w:p>
    <w:p>
      <w:pPr>
        <w:spacing w:after="80"/>
        <w:ind w:left="360"/>
      </w:pPr>
      <w:r>
        <w:rPr>
          <w:sz w:val="22"/>
          <w:szCs w:val="22"/>
        </w:rPr>
        <w:t xml:space="preserve">• **Key personnel / provider turnover:** Reassess upon material turnover in portfolio management, risk leadership, administrator, or valuation agents; redeem if turnover coincides with performance deterioration or reduced transparency *(governance principle cited in materials)*.</w:t>
      </w:r>
    </w:p>
    <w:p>
      <w:pPr>
        <w:spacing w:after="80"/>
        <w:ind w:left="360"/>
      </w:pPr>
      <w:r>
        <w:rPr>
          <w:sz w:val="22"/>
          <w:szCs w:val="22"/>
        </w:rPr>
        <w:t xml:space="preserve">• **Transparency:** Reassess if quarterly reporting does not adequately detail exposures, top positions, liquidity profile, and valuation methodology for non-traded assets for **two reporting cycles** *(assumption consistent with interval-fund best practice)*.</w:t>
      </w: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Market/Macro Context</w:t>
      </w:r>
    </w:p>
    <w:p>
      <w:pPr>
        <w:spacing w:after="80"/>
        <w:ind w:left="360"/>
      </w:pPr>
      <w:r>
        <w:rPr>
          <w:sz w:val="22"/>
          <w:szCs w:val="22"/>
        </w:rPr>
        <w:t xml:space="preserve">• Reassess if the stressed/distressed opportunity set compresses structurally (e.g., broad refinancing wave materially reduces defaults/distress) such that the portfolio shifts away from catalyst-rich situations, lowering expected net returns **below ~8%** on a forward-looking basis *(forward-looking extension consistent with the manager’s performance trigger)*.</w:t>
      </w: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INVESTMENT MERITS</w:t>
      </w:r>
    </w:p>
    <w:p>
      <w:pPr>
        <w:spacing w:after="120"/>
      </w:pPr>
      <w:r>
        <w:rPr>
          <w:sz w:val="22"/>
          <w:szCs w:val="22"/>
        </w:rPr>
        <w:t xml:space="preserve">1. Catalyst-Driven Credit Alpha vs. Pure Carry: The strategy targets event-driven situations (restructuring/refinancing/re-rating) where realized outcomes are driven by discrete catalysts rather than solely spread compression or coupon income, improving the potential for idiosyncratic return generation across credit cycles.</w:t>
      </w:r>
    </w:p>
    <w:p>
      <w:pPr>
        <w:spacing w:after="120"/>
      </w:pPr>
      <w:r>
        <w:rPr>
          <w:sz w:val="22"/>
          <w:szCs w:val="22"/>
        </w:rPr>
        <w:t xml:space="preserve">2. Senior-Secured Orientation with Upside Optionality: The portfolio tilt toward senior secured/structured credit seeks to preserve downside protection through collateral and priority of claim while maintaining the ability to participate in re-rating or post-reorg appreciation when catalysts resolve.</w:t>
      </w:r>
    </w:p>
    <w:p>
      <w:pPr>
        <w:spacing w:after="120"/>
      </w:pPr>
      <w:r>
        <w:rPr>
          <w:sz w:val="22"/>
          <w:szCs w:val="22"/>
        </w:rPr>
        <w:t xml:space="preserve">3. Global Sourcing in Less Efficient Markets: With approximately 55% North America / 40% Europe / 5% Emerging, the strategy leverages RBC BlueBay’s global credit footprint to identify differentiated opportunities—particularly in Europe where legal complexity can create mispricings for specialized underwriters.</w:t>
      </w:r>
    </w:p>
    <w:p>
      <w:pPr>
        <w:spacing w:after="120"/>
      </w:pPr>
      <w:r>
        <w:rPr>
          <w:sz w:val="22"/>
          <w:szCs w:val="22"/>
        </w:rPr>
        <w:t xml:space="preserve">4. Institutional Platform and Scale: RBC BlueBay’s approximately $150B in credit AUM (including &gt;$40B in alternative credit) supports deep credit research coverage, structuring expertise, and risk oversight—important in stressed/distressed underwriting where documentation and restructuring dynamics drive outcomes.</w:t>
      </w:r>
    </w:p>
    <w:p>
      <w:pPr>
        <w:spacing w:after="120"/>
      </w:pPr>
      <w:r>
        <w:rPr>
          <w:sz w:val="22"/>
          <w:szCs w:val="22"/>
        </w:rPr>
        <w:t xml:space="preserve">5. Wealth-Friendly Evergreen Structure: The interval fund format provides daily NAV, quarterly repurchases (≥5%), and 1099 reporting, reducing administrative complexity versus drawdown private funds and supporting allocation sizing and rebalancing for taxable, high-net-worth portfolios.</w:t>
      </w:r>
    </w:p>
    <w:p>
      <w:pPr>
        <w:pBdr>
          <w:bottom w:val="single" w:color="3182CE" w:sz="6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INVESTMENT RISKS &amp; MITIGANTS</w:t>
      </w: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Liquidity / Interval Fund Structure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1E3A5F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Quarterly repurchases (≥5%) can be **prorated** during stress; liquidity may be meaningfully less than daily liquidity instruments, particularly if underlying positions are less liquid.</w:t>
            </w:r>
          </w:p>
        </w:tc>
      </w:tr>
      <w:tr>
        <w:tc>
          <w:tcPr>
            <w:shd w:fill="2C5282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Mitigant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Monitor redemption demand; **reassess if requests exceed 200% of offer for two consecutive quarters**. Position size the allocation with an assumption of multi-quarter liquidity and maintain adequate liquid reserves elsewhere in the portfolio.</w:t>
            </w:r>
          </w:p>
        </w:tc>
      </w:tr>
    </w:tbl>
    <w:p>
      <w:pPr>
        <w:spacing w:after="150"/>
      </w:pP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Credit Cycle &amp; Distressed Risk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1E3A5F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Stressed/distressed exposures can experience higher default risk, impaired recoveries, and episodic drawdowns, especially during recessionary conditions or systemic credit events.</w:t>
            </w:r>
          </w:p>
        </w:tc>
      </w:tr>
      <w:tr>
        <w:tc>
          <w:tcPr>
            <w:shd w:fill="2C5282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Mitigant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Emphasis on **senior secured / first-lien** exposure with style guardrails; **reassess if first-lien falls below 65%** or if NAV drawdown exceeds **5% absent systemic shock**.</w:t>
            </w:r>
          </w:p>
        </w:tc>
      </w:tr>
    </w:tbl>
    <w:p>
      <w:pPr>
        <w:spacing w:after="150"/>
      </w:pP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Valuation Subjectivity / Non-Traded Assets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1E3A5F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Complex credit instruments (claims, non-performing loans, structured/special situations) may involve model-based or judgmental marks, increasing NAV uncertainty and potential smoothing.</w:t>
            </w:r>
          </w:p>
        </w:tc>
      </w:tr>
      <w:tr>
        <w:tc>
          <w:tcPr>
            <w:shd w:fill="2C5282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Mitigant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Require robust position-level transparency and valuation process disclosure; **reassess if reporting transparency deteriorates for two consecutive quarters** *(assumption)*, and if unexplained valuation volatility diverges from comparable market moves.</w:t>
            </w:r>
          </w:p>
        </w:tc>
      </w:tr>
    </w:tbl>
    <w:p>
      <w:pPr>
        <w:spacing w:after="150"/>
      </w:pPr>
    </w:p>
    <w:p>
      <w:pPr>
        <w:spacing w:before="200" w:after="100"/>
      </w:pPr>
      <w:r>
        <w:rPr>
          <w:b/>
          <w:bCs/>
          <w:color w:val="2C5282"/>
          <w:sz w:val="22"/>
          <w:szCs w:val="22"/>
        </w:rPr>
        <w:t xml:space="preserve">Fees / Layered Cost Stack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1E3A5F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A **1.35%** management fee plus **15% of net investment income above 5% hurdle** may reduce net returns, particularly in lower-return environments; interval fund operating expenses can drift higher over time.</w:t>
            </w:r>
          </w:p>
        </w:tc>
      </w:tr>
      <w:tr>
        <w:tc>
          <w:tcPr>
            <w:shd w:fill="2C5282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Mitigant</w:t>
            </w:r>
          </w:p>
        </w:tc>
        <w:tc>
          <w:tcPr>
            <w:shd w:fill="F7FAFC" w:val="clear"/>
            <w:tcMar>
              <w:top w:type="dxa" w:w="86"/>
              <w:left w:type="dxa" w:w="144"/>
              <w:bottom w:type="dxa" w:w="86"/>
              <w:right w:type="dxa" w:w="144"/>
            </w:tcMar>
          </w:tcPr>
          <w:p>
            <w:r>
              <w:rPr>
                <w:sz w:val="20"/>
                <w:szCs w:val="20"/>
              </w:rPr>
              <w:t xml:space="preserve">Enforce expense discipline; **reassess if expenses rise &gt;50 bps** (stated trigger). Evaluate net-of-fee performance relative to the **CDLI** and the strategy’s **10–13% net** target; redeem if rolling 12-month return is **&lt;8%** without a clear, time-bound catalyst backlog.</w:t>
            </w:r>
          </w:p>
        </w:tc>
      </w:tr>
    </w:tbl>
    <w:p>
      <w:pPr>
        <w:spacing w:after="15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6"/>
        <w:szCs w:val="16"/>
      </w:rPr>
      <w:t xml:space="preserve">Investment Research | </w:t>
    </w:r>
    <w:r>
      <w:rPr>
        <w:color w:val="4A5568"/>
        <w:sz w:val="16"/>
        <w:szCs w:val="16"/>
      </w:rPr>
      <w:t xml:space="preserve">Page </w:t>
    </w:r>
    <w:r>
      <w:rPr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4A5568"/>
        <w:sz w:val="18"/>
        <w:szCs w:val="18"/>
      </w:rPr>
      <w:t xml:space="preserve">Institutional Investment Memo - Test Portfolio uDQjp1 - February 2,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b/>
      <w:bCs/>
      <w:color w:val="2C52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2026-02-02T08:31:31.590Z</dcterms:created>
  <dcterms:modified xsi:type="dcterms:W3CDTF">2026-02-02T08:31:31.590Z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