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FCA7" w14:textId="5C0D7FC3" w:rsidR="00934ED5" w:rsidRPr="002517E4" w:rsidRDefault="00934ED5" w:rsidP="00934ED5">
      <w:pPr>
        <w:jc w:val="both"/>
        <w:rPr>
          <w:rFonts w:cs="Calibri"/>
          <w:highlight w:val="yellow"/>
        </w:rPr>
      </w:pPr>
      <w:r w:rsidRPr="002517E4">
        <w:rPr>
          <w:rFonts w:cs="Calibri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A3BF2" wp14:editId="7B328461">
                <wp:simplePos x="0" y="0"/>
                <wp:positionH relativeFrom="column">
                  <wp:posOffset>897890</wp:posOffset>
                </wp:positionH>
                <wp:positionV relativeFrom="paragraph">
                  <wp:posOffset>494030</wp:posOffset>
                </wp:positionV>
                <wp:extent cx="5242560" cy="0"/>
                <wp:effectExtent l="12065" t="8255" r="12700" b="1079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42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7640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70.7pt;margin-top:38.9pt;width:412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"/>
            </w:pict>
          </mc:Fallback>
        </mc:AlternateContent>
      </w:r>
    </w:p>
    <w:p w14:paraId="47867FD7" w14:textId="06F28564" w:rsidR="00934ED5" w:rsidRPr="002517E4" w:rsidRDefault="00EA4DC4" w:rsidP="00934ED5">
      <w:pPr>
        <w:jc w:val="center"/>
        <w:rPr>
          <w:rFonts w:cs="Calibri"/>
          <w:b/>
          <w:bCs/>
          <w:sz w:val="24"/>
          <w:szCs w:val="24"/>
        </w:rPr>
      </w:pPr>
      <w:r w:rsidRPr="002517E4">
        <w:rPr>
          <w:rFonts w:cs="Calibri"/>
          <w:b/>
          <w:bCs/>
          <w:sz w:val="24"/>
          <w:szCs w:val="24"/>
        </w:rPr>
        <w:t xml:space="preserve">EVEREST PRIVATE WEALTH </w:t>
      </w:r>
      <w:r w:rsidR="00934ED5" w:rsidRPr="002517E4">
        <w:rPr>
          <w:rFonts w:cs="Calibri"/>
          <w:b/>
          <w:bCs/>
          <w:sz w:val="24"/>
          <w:szCs w:val="24"/>
        </w:rPr>
        <w:t xml:space="preserve">INVESTMENT </w:t>
      </w:r>
      <w:r w:rsidR="003F5F37">
        <w:rPr>
          <w:rFonts w:cs="Calibri"/>
          <w:b/>
          <w:bCs/>
          <w:sz w:val="24"/>
          <w:szCs w:val="24"/>
        </w:rPr>
        <w:t>SUMMARY</w:t>
      </w:r>
    </w:p>
    <w:p w14:paraId="46EF4880" w14:textId="54AF614F" w:rsidR="00934ED5" w:rsidRPr="002517E4" w:rsidRDefault="00E87769" w:rsidP="00934ED5">
      <w:pPr>
        <w:pStyle w:val="Heading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BlueBay Destra International Event-Driven Credit Fund (CEDIX</w:t>
      </w:r>
      <w:r w:rsidR="00841036">
        <w:rPr>
          <w:rFonts w:ascii="Calibri" w:hAnsi="Calibri" w:cs="Calibri"/>
        </w:rPr>
        <w:t>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255"/>
        <w:gridCol w:w="3045"/>
        <w:gridCol w:w="2141"/>
        <w:gridCol w:w="3004"/>
      </w:tblGrid>
      <w:tr w:rsidR="00934ED5" w:rsidRPr="002517E4" w14:paraId="2F80A60C" w14:textId="77777777" w:rsidTr="00F40AE2">
        <w:tc>
          <w:tcPr>
            <w:tcW w:w="9445" w:type="dxa"/>
            <w:gridSpan w:val="4"/>
          </w:tcPr>
          <w:p w14:paraId="4A335CEC" w14:textId="77777777" w:rsidR="00934ED5" w:rsidRPr="002517E4" w:rsidRDefault="00934ED5" w:rsidP="00F40AE2">
            <w:pPr>
              <w:spacing w:after="0" w:line="240" w:lineRule="auto"/>
              <w:jc w:val="both"/>
              <w:rPr>
                <w:rFonts w:cs="Calibri"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MANAGER SUMMARY</w:t>
            </w:r>
          </w:p>
        </w:tc>
      </w:tr>
      <w:tr w:rsidR="00860831" w:rsidRPr="002517E4" w14:paraId="0238CBCB" w14:textId="77777777" w:rsidTr="00322E54">
        <w:trPr>
          <w:trHeight w:val="107"/>
        </w:trPr>
        <w:tc>
          <w:tcPr>
            <w:tcW w:w="1255" w:type="dxa"/>
          </w:tcPr>
          <w:p w14:paraId="756EEBCE" w14:textId="0566684B" w:rsidR="00860831" w:rsidRPr="002517E4" w:rsidRDefault="00860831" w:rsidP="00860831">
            <w:pPr>
              <w:spacing w:after="0" w:line="240" w:lineRule="auto"/>
              <w:jc w:val="both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Inception</w:t>
            </w:r>
          </w:p>
        </w:tc>
        <w:tc>
          <w:tcPr>
            <w:tcW w:w="3045" w:type="dxa"/>
          </w:tcPr>
          <w:p w14:paraId="3B5928AF" w14:textId="7DBA41EB" w:rsidR="00860831" w:rsidRPr="002517E4" w:rsidRDefault="00E87769" w:rsidP="00230D50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2020</w:t>
            </w:r>
          </w:p>
        </w:tc>
        <w:tc>
          <w:tcPr>
            <w:tcW w:w="2141" w:type="dxa"/>
          </w:tcPr>
          <w:p w14:paraId="667A9C4F" w14:textId="0A1141F9" w:rsidR="00860831" w:rsidRPr="002517E4" w:rsidRDefault="00860831" w:rsidP="00230D50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Headquarters</w:t>
            </w:r>
          </w:p>
        </w:tc>
        <w:tc>
          <w:tcPr>
            <w:tcW w:w="3004" w:type="dxa"/>
          </w:tcPr>
          <w:p w14:paraId="08CB81A2" w14:textId="651A5FD3" w:rsidR="00860831" w:rsidRPr="002517E4" w:rsidRDefault="00042FD8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 w:rsidRPr="00042FD8">
              <w:rPr>
                <w:rFonts w:cs="Calibri"/>
              </w:rPr>
              <w:t>London / Toronto / Chicago (BlueBay Asset Management → RBC BlueBay; Destra Capital Advisors LLC as U.S. distributor)</w:t>
            </w:r>
          </w:p>
        </w:tc>
      </w:tr>
      <w:tr w:rsidR="00860831" w:rsidRPr="002517E4" w14:paraId="4CB8B220" w14:textId="77777777" w:rsidTr="003934F3">
        <w:trPr>
          <w:trHeight w:val="620"/>
        </w:trPr>
        <w:tc>
          <w:tcPr>
            <w:tcW w:w="1255" w:type="dxa"/>
          </w:tcPr>
          <w:p w14:paraId="57EED71A" w14:textId="77777777" w:rsidR="00860831" w:rsidRPr="002517E4" w:rsidRDefault="00860831" w:rsidP="00860831">
            <w:pPr>
              <w:spacing w:after="0" w:line="240" w:lineRule="auto"/>
              <w:jc w:val="both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Firm Assets</w:t>
            </w:r>
          </w:p>
        </w:tc>
        <w:tc>
          <w:tcPr>
            <w:tcW w:w="3045" w:type="dxa"/>
          </w:tcPr>
          <w:p w14:paraId="37D6E805" w14:textId="24A83223" w:rsidR="00860831" w:rsidRPr="002517E4" w:rsidRDefault="00042FD8" w:rsidP="00230D50">
            <w:pPr>
              <w:spacing w:after="0"/>
              <w:rPr>
                <w:rFonts w:cs="Calibri"/>
              </w:rPr>
            </w:pPr>
            <w:r w:rsidRPr="00042FD8">
              <w:rPr>
                <w:rFonts w:cs="Calibri"/>
              </w:rPr>
              <w:t>RBC BlueBay ≈ $150 billion global credit AUM (&gt;$40 billion in alternative credit strategies)</w:t>
            </w:r>
          </w:p>
        </w:tc>
        <w:tc>
          <w:tcPr>
            <w:tcW w:w="2141" w:type="dxa"/>
          </w:tcPr>
          <w:p w14:paraId="4A8FCFC0" w14:textId="67AD5474" w:rsidR="00860831" w:rsidRPr="002517E4" w:rsidRDefault="00860831" w:rsidP="00230D50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Fund Strategy Assets</w:t>
            </w:r>
          </w:p>
        </w:tc>
        <w:tc>
          <w:tcPr>
            <w:tcW w:w="3004" w:type="dxa"/>
          </w:tcPr>
          <w:p w14:paraId="0A21C614" w14:textId="292705FB" w:rsidR="00860831" w:rsidRPr="002517E4" w:rsidRDefault="00042FD8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 w:rsidRPr="00042FD8">
              <w:rPr>
                <w:rFonts w:cs="Calibri"/>
              </w:rPr>
              <w:t>~$700 million (as of June 30 2025)</w:t>
            </w:r>
          </w:p>
        </w:tc>
      </w:tr>
      <w:tr w:rsidR="00934ED5" w:rsidRPr="002517E4" w14:paraId="10266DA1" w14:textId="77777777" w:rsidTr="003934F3">
        <w:tc>
          <w:tcPr>
            <w:tcW w:w="1255" w:type="dxa"/>
          </w:tcPr>
          <w:p w14:paraId="49FAB1D7" w14:textId="77777777" w:rsidR="00934ED5" w:rsidRPr="002517E4" w:rsidRDefault="00934ED5" w:rsidP="00F40AE2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Asset Class</w:t>
            </w:r>
          </w:p>
        </w:tc>
        <w:tc>
          <w:tcPr>
            <w:tcW w:w="3045" w:type="dxa"/>
          </w:tcPr>
          <w:p w14:paraId="318561A5" w14:textId="56B9229F" w:rsidR="00934ED5" w:rsidRPr="002517E4" w:rsidRDefault="00516681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>
              <w:rPr>
                <w:rFonts w:cs="Calibri"/>
                <w:lang w:eastAsia="x-none"/>
              </w:rPr>
              <w:t>Private Credit</w:t>
            </w:r>
          </w:p>
        </w:tc>
        <w:tc>
          <w:tcPr>
            <w:tcW w:w="2141" w:type="dxa"/>
          </w:tcPr>
          <w:p w14:paraId="64FFB6EE" w14:textId="77777777" w:rsidR="00934ED5" w:rsidRPr="002517E4" w:rsidRDefault="00934ED5" w:rsidP="00230D50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Sub-Asset Class</w:t>
            </w:r>
          </w:p>
        </w:tc>
        <w:tc>
          <w:tcPr>
            <w:tcW w:w="3004" w:type="dxa"/>
          </w:tcPr>
          <w:p w14:paraId="4119A6F2" w14:textId="29AF5729" w:rsidR="00934ED5" w:rsidRPr="002517E4" w:rsidRDefault="00BF5F50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 w:rsidRPr="00BF5F50">
              <w:rPr>
                <w:rFonts w:cs="Calibri"/>
              </w:rPr>
              <w:t>Event-Driven and Opportunistic Credit</w:t>
            </w:r>
          </w:p>
        </w:tc>
      </w:tr>
      <w:tr w:rsidR="00934ED5" w:rsidRPr="002517E4" w14:paraId="5839FB57" w14:textId="77777777" w:rsidTr="003934F3">
        <w:tc>
          <w:tcPr>
            <w:tcW w:w="1255" w:type="dxa"/>
          </w:tcPr>
          <w:p w14:paraId="2D48798E" w14:textId="4F6140E9" w:rsidR="00934ED5" w:rsidRPr="002517E4" w:rsidRDefault="00934ED5" w:rsidP="00F40AE2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lastRenderedPageBreak/>
              <w:t>M</w:t>
            </w:r>
            <w:r w:rsidR="003934F3">
              <w:rPr>
                <w:rFonts w:cs="Calibri"/>
                <w:b/>
                <w:bCs/>
                <w:lang w:eastAsia="x-none"/>
              </w:rPr>
              <w:t>gm</w:t>
            </w:r>
            <w:r w:rsidRPr="002517E4">
              <w:rPr>
                <w:rFonts w:cs="Calibri"/>
                <w:b/>
                <w:bCs/>
                <w:lang w:eastAsia="x-none"/>
              </w:rPr>
              <w:t>t</w:t>
            </w:r>
            <w:r w:rsidR="00E21EEE">
              <w:rPr>
                <w:rFonts w:cs="Calibri"/>
                <w:b/>
                <w:bCs/>
                <w:lang w:eastAsia="x-none"/>
              </w:rPr>
              <w:t>.</w:t>
            </w:r>
            <w:r w:rsidRPr="002517E4">
              <w:rPr>
                <w:rFonts w:cs="Calibri"/>
                <w:b/>
                <w:bCs/>
                <w:lang w:eastAsia="x-none"/>
              </w:rPr>
              <w:t xml:space="preserve"> Fee</w:t>
            </w:r>
          </w:p>
        </w:tc>
        <w:tc>
          <w:tcPr>
            <w:tcW w:w="3045" w:type="dxa"/>
          </w:tcPr>
          <w:p w14:paraId="506BFBAD" w14:textId="580BA597" w:rsidR="00934ED5" w:rsidRPr="002517E4" w:rsidRDefault="003B5F4B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>
              <w:rPr>
                <w:rFonts w:cs="Calibri"/>
              </w:rPr>
              <w:t>1.</w:t>
            </w:r>
            <w:r w:rsidR="00BF5F50">
              <w:rPr>
                <w:rFonts w:cs="Calibri"/>
              </w:rPr>
              <w:t>3</w:t>
            </w:r>
            <w:r>
              <w:rPr>
                <w:rFonts w:cs="Calibri"/>
              </w:rPr>
              <w:t>5%</w:t>
            </w:r>
          </w:p>
        </w:tc>
        <w:tc>
          <w:tcPr>
            <w:tcW w:w="2141" w:type="dxa"/>
          </w:tcPr>
          <w:p w14:paraId="59A2F370" w14:textId="77777777" w:rsidR="00934ED5" w:rsidRPr="002517E4" w:rsidRDefault="00934ED5" w:rsidP="00230D50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Incentive Fee</w:t>
            </w:r>
          </w:p>
        </w:tc>
        <w:tc>
          <w:tcPr>
            <w:tcW w:w="3004" w:type="dxa"/>
          </w:tcPr>
          <w:p w14:paraId="5B61F67D" w14:textId="7ED357E0" w:rsidR="00934ED5" w:rsidRPr="002517E4" w:rsidRDefault="00BF5F50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 w:rsidRPr="00BF5F50">
              <w:rPr>
                <w:rFonts w:cs="Calibri"/>
              </w:rPr>
              <w:t>15% of net investment income above a 5% annual hurdle (w/ high-water mark)</w:t>
            </w:r>
          </w:p>
        </w:tc>
      </w:tr>
      <w:tr w:rsidR="00934ED5" w:rsidRPr="002517E4" w14:paraId="3A496127" w14:textId="77777777" w:rsidTr="003934F3">
        <w:tc>
          <w:tcPr>
            <w:tcW w:w="1255" w:type="dxa"/>
          </w:tcPr>
          <w:p w14:paraId="436C21F4" w14:textId="77777777" w:rsidR="00934ED5" w:rsidRPr="002517E4" w:rsidRDefault="00934ED5" w:rsidP="00F40AE2">
            <w:pPr>
              <w:spacing w:after="0" w:line="240" w:lineRule="auto"/>
              <w:rPr>
                <w:rFonts w:cs="Calibri"/>
                <w:b/>
                <w:bCs/>
                <w:highlight w:val="yellow"/>
                <w:lang w:eastAsia="x-none"/>
              </w:rPr>
            </w:pPr>
            <w:r w:rsidRPr="002517E4">
              <w:rPr>
                <w:rFonts w:cs="Calibri"/>
                <w:b/>
                <w:bCs/>
                <w:lang w:eastAsia="x-none"/>
              </w:rPr>
              <w:t>Fund Term</w:t>
            </w:r>
          </w:p>
        </w:tc>
        <w:tc>
          <w:tcPr>
            <w:tcW w:w="3045" w:type="dxa"/>
          </w:tcPr>
          <w:p w14:paraId="265F7651" w14:textId="610946F6" w:rsidR="00934ED5" w:rsidRPr="002517E4" w:rsidRDefault="00EE7232" w:rsidP="00230D50">
            <w:pPr>
              <w:tabs>
                <w:tab w:val="center" w:pos="1012"/>
              </w:tabs>
              <w:spacing w:after="0" w:line="240" w:lineRule="auto"/>
              <w:rPr>
                <w:rFonts w:cs="Calibri"/>
                <w:highlight w:val="yellow"/>
                <w:lang w:eastAsia="x-none"/>
              </w:rPr>
            </w:pPr>
            <w:r w:rsidRPr="00EE7232">
              <w:rPr>
                <w:rFonts w:cs="Calibri"/>
                <w:lang w:eastAsia="x-none"/>
              </w:rPr>
              <w:t>Evergreen, structured as interval fund</w:t>
            </w:r>
          </w:p>
        </w:tc>
        <w:tc>
          <w:tcPr>
            <w:tcW w:w="2141" w:type="dxa"/>
          </w:tcPr>
          <w:p w14:paraId="374AD1C0" w14:textId="69400D50" w:rsidR="00934ED5" w:rsidRPr="002517E4" w:rsidRDefault="00395DDA" w:rsidP="00230D50">
            <w:pPr>
              <w:spacing w:after="0" w:line="240" w:lineRule="auto"/>
              <w:rPr>
                <w:rFonts w:cs="Calibri"/>
                <w:b/>
                <w:bCs/>
                <w:lang w:eastAsia="x-none"/>
              </w:rPr>
            </w:pPr>
            <w:r>
              <w:rPr>
                <w:rFonts w:cs="Calibri"/>
                <w:b/>
                <w:bCs/>
                <w:lang w:eastAsia="x-none"/>
              </w:rPr>
              <w:t>Leverage</w:t>
            </w:r>
          </w:p>
        </w:tc>
        <w:tc>
          <w:tcPr>
            <w:tcW w:w="3004" w:type="dxa"/>
          </w:tcPr>
          <w:p w14:paraId="4C5D81CD" w14:textId="57868A91" w:rsidR="00934ED5" w:rsidRPr="002517E4" w:rsidRDefault="001F0B2E" w:rsidP="00230D50">
            <w:pPr>
              <w:spacing w:after="0" w:line="240" w:lineRule="auto"/>
              <w:rPr>
                <w:rFonts w:cs="Calibri"/>
                <w:lang w:eastAsia="x-none"/>
              </w:rPr>
            </w:pPr>
            <w:r>
              <w:rPr>
                <w:rFonts w:cs="Calibri"/>
                <w:lang w:eastAsia="x-none"/>
              </w:rPr>
              <w:t>Up to 33% of assets</w:t>
            </w:r>
          </w:p>
        </w:tc>
      </w:tr>
    </w:tbl>
    <w:p w14:paraId="57A5701F" w14:textId="77777777" w:rsidR="00934ED5" w:rsidRPr="002517E4" w:rsidRDefault="00934ED5" w:rsidP="00934ED5">
      <w:pPr>
        <w:pStyle w:val="Heading1"/>
        <w:rPr>
          <w:rFonts w:ascii="Calibri" w:hAnsi="Calibri" w:cs="Calibri"/>
        </w:rPr>
      </w:pPr>
      <w:bookmarkStart w:id="0" w:name="_Toc209990104"/>
      <w:r w:rsidRPr="002517E4">
        <w:rPr>
          <w:rFonts w:ascii="Calibri" w:hAnsi="Calibri" w:cs="Calibri"/>
        </w:rPr>
        <w:t>EXECUTIVE SUMMARY</w:t>
      </w:r>
      <w:bookmarkEnd w:id="0"/>
    </w:p>
    <w:p w14:paraId="00CB334D" w14:textId="77777777" w:rsidR="00934ED5" w:rsidRPr="002517E4" w:rsidRDefault="00934ED5" w:rsidP="00934ED5">
      <w:pPr>
        <w:jc w:val="both"/>
        <w:rPr>
          <w:rFonts w:cs="Calibri"/>
          <w:b/>
          <w:bCs/>
        </w:rPr>
      </w:pPr>
      <w:r w:rsidRPr="002517E4">
        <w:rPr>
          <w:rFonts w:cs="Calibri"/>
          <w:b/>
          <w:bCs/>
        </w:rPr>
        <w:t>FIRM OVERVIEW</w:t>
      </w:r>
    </w:p>
    <w:p w14:paraId="3A868CD2" w14:textId="77777777" w:rsidR="003F011C" w:rsidRDefault="003F011C" w:rsidP="00B0468C">
      <w:pPr>
        <w:jc w:val="both"/>
        <w:rPr>
          <w:rFonts w:cs="Calibri"/>
        </w:rPr>
      </w:pPr>
      <w:r w:rsidRPr="003F011C">
        <w:rPr>
          <w:rFonts w:cs="Calibri"/>
        </w:rPr>
        <w:t>RBC BlueBay Asset Management is a global credit-specialist founded in 2001 and now wholly owned by Royal Bank of Canada. The firm is renowned for event-driven, structured and distressed credit investing across public and private markets in Europe and North America. Destra Capital brings distribution and interval-fund expertise for the U.S. wealth market. Together they offer a seasoned platform combining institutional credit origination, restructuring expertise and semi-liquid access for advisors.</w:t>
      </w:r>
    </w:p>
    <w:p w14:paraId="785CDF45" w14:textId="6B5517FF" w:rsidR="00934ED5" w:rsidRPr="002517E4" w:rsidRDefault="00934ED5" w:rsidP="00B0468C">
      <w:pPr>
        <w:jc w:val="both"/>
        <w:rPr>
          <w:rFonts w:cs="Calibri"/>
        </w:rPr>
      </w:pPr>
      <w:r w:rsidRPr="002517E4">
        <w:rPr>
          <w:rFonts w:cs="Calibri"/>
          <w:b/>
          <w:bCs/>
        </w:rPr>
        <w:t>INVESTMENT OVERVIEW</w:t>
      </w:r>
    </w:p>
    <w:p w14:paraId="33C6E5A3" w14:textId="77777777" w:rsidR="004B5672" w:rsidRPr="004B5672" w:rsidRDefault="004B5672" w:rsidP="004B5672">
      <w:pPr>
        <w:jc w:val="both"/>
        <w:rPr>
          <w:rFonts w:cs="Calibri"/>
        </w:rPr>
      </w:pPr>
      <w:r w:rsidRPr="004B5672">
        <w:rPr>
          <w:rFonts w:cs="Calibri"/>
        </w:rPr>
        <w:lastRenderedPageBreak/>
        <w:t>The Fund seeks to generate high current income and attractive total returns by investing globally in a blend of stressed, distressed and event-driven credit situations where catalysts can unlock value through restructuring, refinancing or re-rating events.</w:t>
      </w:r>
    </w:p>
    <w:p w14:paraId="32BAF713" w14:textId="77777777" w:rsidR="004B5672" w:rsidRDefault="004B5672" w:rsidP="004B5672"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 w:rsidRPr="004B5672">
        <w:rPr>
          <w:rFonts w:cs="Calibri"/>
        </w:rPr>
        <w:t>Core Exposure: senior secured and structured credit instruments (performing and non-performing corporate loans, trade claims, asset-backed special situations)</w:t>
      </w:r>
    </w:p>
    <w:p w14:paraId="2E84389B" w14:textId="77777777" w:rsidR="004B5672" w:rsidRDefault="004B5672" w:rsidP="004B5672"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 w:rsidRPr="004B5672">
        <w:rPr>
          <w:rFonts w:cs="Calibri"/>
        </w:rPr>
        <w:lastRenderedPageBreak/>
        <w:t>Event Themes: refinancing cycles, dislocation trades, capital-structure arbitrage, post-reorg equity or preferreds</w:t>
      </w:r>
    </w:p>
    <w:p w14:paraId="314C51A0" w14:textId="77777777" w:rsidR="004B5672" w:rsidRDefault="004B5672" w:rsidP="004B5672"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 w:rsidRPr="004B5672">
        <w:rPr>
          <w:rFonts w:cs="Calibri"/>
        </w:rPr>
        <w:t>Geography: North America (≈ 55%) / Europe (≈ 40%) / Emerging (≈ 5%)</w:t>
      </w:r>
    </w:p>
    <w:p w14:paraId="3B68E61F" w14:textId="1CDEFAE8" w:rsidR="004B5672" w:rsidRPr="004B5672" w:rsidRDefault="004B5672" w:rsidP="004B5672">
      <w:pPr>
        <w:pStyle w:val="ListParagraph"/>
        <w:numPr>
          <w:ilvl w:val="0"/>
          <w:numId w:val="6"/>
        </w:numPr>
        <w:jc w:val="both"/>
        <w:rPr>
          <w:rFonts w:cs="Calibri"/>
        </w:rPr>
      </w:pPr>
      <w:r w:rsidRPr="004B5672">
        <w:rPr>
          <w:rFonts w:cs="Calibri"/>
        </w:rPr>
        <w:t>Liquidity: Daily NAV pricing; Quarterly repurchases ≥ 5%; 1099-DIV reporting (no K-1s)</w:t>
      </w:r>
    </w:p>
    <w:p w14:paraId="425113FF" w14:textId="48F81570" w:rsidR="004B5672" w:rsidRPr="004B5672" w:rsidRDefault="004B5672" w:rsidP="00332B56">
      <w:pPr>
        <w:spacing w:after="0"/>
        <w:jc w:val="both"/>
        <w:rPr>
          <w:rFonts w:cs="Calibri"/>
        </w:rPr>
      </w:pPr>
      <w:r w:rsidRPr="004B5672">
        <w:rPr>
          <w:rFonts w:cs="Calibri"/>
          <w:b/>
          <w:bCs/>
          <w:u w:val="single"/>
        </w:rPr>
        <w:t>Benchmark</w:t>
      </w:r>
      <w:r w:rsidRPr="004B5672">
        <w:rPr>
          <w:rFonts w:cs="Calibri"/>
        </w:rPr>
        <w:t xml:space="preserve">: </w:t>
      </w:r>
      <w:r w:rsidR="00E64724">
        <w:rPr>
          <w:rFonts w:cs="Calibri"/>
        </w:rPr>
        <w:t>Cliffwater Direct Lending Index</w:t>
      </w:r>
    </w:p>
    <w:p w14:paraId="3B78E438" w14:textId="231CA63A" w:rsidR="004B5672" w:rsidRPr="004B5672" w:rsidRDefault="004B5672" w:rsidP="00332B56">
      <w:pPr>
        <w:spacing w:after="0"/>
        <w:jc w:val="both"/>
        <w:rPr>
          <w:rFonts w:cs="Calibri"/>
        </w:rPr>
      </w:pPr>
      <w:r w:rsidRPr="004B5672">
        <w:rPr>
          <w:rFonts w:cs="Calibri"/>
          <w:b/>
          <w:bCs/>
          <w:u w:val="single"/>
        </w:rPr>
        <w:t>Expected Return</w:t>
      </w:r>
      <w:r w:rsidRPr="004B5672">
        <w:rPr>
          <w:rFonts w:cs="Calibri"/>
        </w:rPr>
        <w:t>: 10–13% net annualized</w:t>
      </w:r>
    </w:p>
    <w:p w14:paraId="680AD3BF" w14:textId="235F4FD8" w:rsidR="00E04AF0" w:rsidRDefault="004B5672" w:rsidP="00332B56">
      <w:pPr>
        <w:spacing w:after="0"/>
        <w:jc w:val="both"/>
        <w:rPr>
          <w:rFonts w:cs="Calibri"/>
        </w:rPr>
      </w:pPr>
      <w:r w:rsidRPr="00E04AF0">
        <w:rPr>
          <w:rFonts w:cs="Calibri"/>
          <w:b/>
          <w:bCs/>
          <w:u w:val="single"/>
        </w:rPr>
        <w:t>Reasons to</w:t>
      </w:r>
      <w:r w:rsidR="00D43656">
        <w:rPr>
          <w:rFonts w:cs="Calibri"/>
          <w:b/>
          <w:bCs/>
          <w:u w:val="single"/>
        </w:rPr>
        <w:t xml:space="preserve"> Re-assess/</w:t>
      </w:r>
      <w:r w:rsidRPr="00E04AF0">
        <w:rPr>
          <w:rFonts w:cs="Calibri"/>
          <w:b/>
          <w:bCs/>
          <w:u w:val="single"/>
        </w:rPr>
        <w:t xml:space="preserve"> Redeem</w:t>
      </w:r>
      <w:r w:rsidRPr="004B5672">
        <w:rPr>
          <w:rFonts w:cs="Calibri"/>
        </w:rPr>
        <w:t xml:space="preserve">: </w:t>
      </w:r>
    </w:p>
    <w:p w14:paraId="327847F3" w14:textId="7D9BB718" w:rsidR="00467A26" w:rsidRPr="00467A26" w:rsidRDefault="00467A26" w:rsidP="00467A26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  <w:bCs/>
        </w:rPr>
      </w:pPr>
      <w:r w:rsidRPr="00467A26">
        <w:rPr>
          <w:rFonts w:cs="Calibri"/>
          <w:b/>
          <w:bCs/>
        </w:rPr>
        <w:t>Performance &amp; Risk Metrics</w:t>
      </w:r>
    </w:p>
    <w:p w14:paraId="4B6CF710" w14:textId="6BE66C47" w:rsidR="00467A26" w:rsidRPr="00467A26" w:rsidRDefault="00B423A5" w:rsidP="00DA40CA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>
        <w:rPr>
          <w:rFonts w:cs="Calibri"/>
        </w:rPr>
        <w:t>R</w:t>
      </w:r>
      <w:r w:rsidR="00467A26" w:rsidRPr="00467A26">
        <w:rPr>
          <w:rFonts w:cs="Calibri"/>
        </w:rPr>
        <w:t>eturn</w:t>
      </w:r>
      <w:r>
        <w:rPr>
          <w:rFonts w:cs="Calibri"/>
        </w:rPr>
        <w:t>s</w:t>
      </w:r>
      <w:r w:rsidR="00467A26" w:rsidRPr="00467A26">
        <w:rPr>
          <w:rFonts w:cs="Calibri"/>
        </w:rPr>
        <w:t xml:space="preserve"> &lt;8%</w:t>
      </w:r>
      <w:r>
        <w:rPr>
          <w:rFonts w:cs="Calibri"/>
        </w:rPr>
        <w:t xml:space="preserve"> over </w:t>
      </w:r>
      <w:r w:rsidR="00485206">
        <w:rPr>
          <w:rFonts w:cs="Calibri"/>
        </w:rPr>
        <w:t>a rolling 12-month period</w:t>
      </w:r>
      <w:r w:rsidR="00467A26" w:rsidRPr="00467A26">
        <w:rPr>
          <w:rFonts w:cs="Calibri"/>
        </w:rPr>
        <w:t xml:space="preserve">, or underperformance vs. the </w:t>
      </w:r>
      <w:r w:rsidR="00E64724">
        <w:rPr>
          <w:rFonts w:cs="Calibri"/>
        </w:rPr>
        <w:t>benchmark</w:t>
      </w:r>
      <w:r w:rsidR="00485206">
        <w:rPr>
          <w:rFonts w:cs="Calibri"/>
        </w:rPr>
        <w:t>.</w:t>
      </w:r>
      <w:r w:rsidR="00E64724">
        <w:rPr>
          <w:rFonts w:cs="Calibri"/>
        </w:rPr>
        <w:t xml:space="preserve"> </w:t>
      </w:r>
    </w:p>
    <w:p w14:paraId="3E276619" w14:textId="76A7FD27" w:rsidR="00467A26" w:rsidRDefault="00467A26" w:rsidP="00FE7880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Volatility or drawdown &gt;1.5x that of the peer group without corresponding recovery</w:t>
      </w:r>
      <w:r w:rsidR="00601DF6">
        <w:rPr>
          <w:rFonts w:cs="Calibri"/>
        </w:rPr>
        <w:t>.</w:t>
      </w:r>
    </w:p>
    <w:p w14:paraId="09F5E7B3" w14:textId="77777777" w:rsidR="00F33C7B" w:rsidRPr="001F223C" w:rsidRDefault="00F33C7B" w:rsidP="00F33C7B">
      <w:pPr>
        <w:pStyle w:val="ListParagraph"/>
        <w:numPr>
          <w:ilvl w:val="1"/>
          <w:numId w:val="7"/>
        </w:numPr>
        <w:jc w:val="both"/>
      </w:pPr>
      <w:r>
        <w:t xml:space="preserve">Sustained and material </w:t>
      </w:r>
      <w:r w:rsidRPr="001F223C">
        <w:t xml:space="preserve">Sharpe ratio deterioration </w:t>
      </w:r>
      <w:r>
        <w:t>over a rolling 12-month period.</w:t>
      </w:r>
    </w:p>
    <w:p w14:paraId="2EB251B9" w14:textId="2BCEE580" w:rsidR="00F33C7B" w:rsidRPr="00F33C7B" w:rsidRDefault="00F33C7B" w:rsidP="00F33C7B">
      <w:pPr>
        <w:pStyle w:val="ListParagraph"/>
        <w:numPr>
          <w:ilvl w:val="1"/>
          <w:numId w:val="7"/>
        </w:numPr>
        <w:jc w:val="both"/>
      </w:pPr>
      <w:r w:rsidRPr="001F223C">
        <w:t>NAV volatility exceeding 2x that of peers or a drawdown &gt;5% absent a systemic credit shock.</w:t>
      </w:r>
    </w:p>
    <w:p w14:paraId="0884AABF" w14:textId="3F0352E0" w:rsidR="00467A26" w:rsidRPr="00467A26" w:rsidRDefault="00467A26" w:rsidP="00467A26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  <w:bCs/>
        </w:rPr>
      </w:pPr>
      <w:r w:rsidRPr="00467A26">
        <w:rPr>
          <w:rFonts w:cs="Calibri"/>
          <w:b/>
          <w:bCs/>
        </w:rPr>
        <w:t>Portfolio Composition/ Strategy Drift</w:t>
      </w:r>
    </w:p>
    <w:p w14:paraId="649716CF" w14:textId="433449C7" w:rsidR="00467A26" w:rsidRPr="00467A26" w:rsidRDefault="00467A26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Event-driven exposures drop below 60% of portfolio, with capital reallocated to passive performing credit or loan beta.</w:t>
      </w:r>
    </w:p>
    <w:p w14:paraId="1352F099" w14:textId="77777777" w:rsidR="00467A26" w:rsidRPr="00467A26" w:rsidRDefault="00467A26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Regional drift: non-U.S./non-Europe exposures exceed 20% of NAV, introducing unfamiliar legal or restructuring jurisdictions.</w:t>
      </w:r>
    </w:p>
    <w:p w14:paraId="778721DD" w14:textId="63344E6C" w:rsidR="00467A26" w:rsidRPr="00B44DDF" w:rsidRDefault="00467A26" w:rsidP="00B44DDF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Shift to equity or unsecured tranches: first-lien secured exposure falls below 65%, or equity/convertible exposure exceeds 10% of NAV.</w:t>
      </w:r>
    </w:p>
    <w:p w14:paraId="162B1CEA" w14:textId="30E010D9" w:rsidR="00467A26" w:rsidRPr="00467A26" w:rsidRDefault="00467A26" w:rsidP="00467A26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  <w:bCs/>
        </w:rPr>
      </w:pPr>
      <w:r w:rsidRPr="00467A26">
        <w:rPr>
          <w:rFonts w:cs="Calibri"/>
          <w:b/>
          <w:bCs/>
        </w:rPr>
        <w:t xml:space="preserve">Liquidity &amp; </w:t>
      </w:r>
      <w:r w:rsidR="00C44D3A">
        <w:rPr>
          <w:rFonts w:cs="Calibri"/>
          <w:b/>
          <w:bCs/>
        </w:rPr>
        <w:t>Leverage</w:t>
      </w:r>
    </w:p>
    <w:p w14:paraId="44251409" w14:textId="77777777" w:rsidR="008D2AE9" w:rsidRPr="001F223C" w:rsidRDefault="008D2AE9" w:rsidP="008D2AE9">
      <w:pPr>
        <w:pStyle w:val="ListParagraph"/>
        <w:numPr>
          <w:ilvl w:val="1"/>
          <w:numId w:val="7"/>
        </w:numPr>
        <w:jc w:val="both"/>
      </w:pPr>
      <w:r w:rsidRPr="001F223C">
        <w:t>Quarterly repurchase requests exceed 200% of offered amount for two consecutive quarters, indicating persistent redemption stress</w:t>
      </w:r>
      <w:r>
        <w:t>; Everest should consider entering the queue for liquidity</w:t>
      </w:r>
      <w:r w:rsidRPr="001F223C">
        <w:t>.</w:t>
      </w:r>
    </w:p>
    <w:p w14:paraId="5D7E6CEB" w14:textId="77777777" w:rsidR="008D2AE9" w:rsidRPr="001F223C" w:rsidRDefault="008D2AE9" w:rsidP="008D2AE9">
      <w:pPr>
        <w:pStyle w:val="ListParagraph"/>
        <w:numPr>
          <w:ilvl w:val="1"/>
          <w:numId w:val="7"/>
        </w:numPr>
        <w:jc w:val="both"/>
      </w:pPr>
      <w:r>
        <w:t>Increased levels of leverage with no correlation to return enhancement.</w:t>
      </w:r>
    </w:p>
    <w:p w14:paraId="5625506E" w14:textId="77777777" w:rsidR="008D2AE9" w:rsidRPr="001F223C" w:rsidRDefault="008D2AE9" w:rsidP="008D2AE9">
      <w:pPr>
        <w:pStyle w:val="ListParagraph"/>
        <w:numPr>
          <w:ilvl w:val="1"/>
          <w:numId w:val="7"/>
        </w:numPr>
        <w:jc w:val="both"/>
      </w:pPr>
      <w:r>
        <w:t>Chronic d</w:t>
      </w:r>
      <w:r w:rsidRPr="001F223C">
        <w:t>ecline in redemption coverage ratio on a sustained basis.</w:t>
      </w:r>
    </w:p>
    <w:p w14:paraId="7C3DA729" w14:textId="723262B7" w:rsidR="00467A26" w:rsidRPr="00467A26" w:rsidRDefault="00467A26" w:rsidP="00467A26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  <w:bCs/>
        </w:rPr>
      </w:pPr>
      <w:r w:rsidRPr="00467A26">
        <w:rPr>
          <w:rFonts w:cs="Calibri"/>
          <w:b/>
          <w:bCs/>
        </w:rPr>
        <w:t xml:space="preserve">Governance / Process </w:t>
      </w:r>
      <w:r w:rsidR="00FB75DC">
        <w:rPr>
          <w:rFonts w:cs="Calibri"/>
          <w:b/>
          <w:bCs/>
        </w:rPr>
        <w:t>Concerns</w:t>
      </w:r>
    </w:p>
    <w:p w14:paraId="501F164C" w14:textId="77777777" w:rsidR="00A551CC" w:rsidRPr="00A551CC" w:rsidRDefault="00A551CC" w:rsidP="00A551CC">
      <w:pPr>
        <w:pStyle w:val="ListParagraph"/>
        <w:numPr>
          <w:ilvl w:val="1"/>
          <w:numId w:val="7"/>
        </w:numPr>
        <w:rPr>
          <w:rFonts w:cs="Calibri"/>
        </w:rPr>
      </w:pPr>
      <w:r w:rsidRPr="00A551CC">
        <w:rPr>
          <w:rFonts w:cs="Calibri"/>
        </w:rPr>
        <w:t>Auditor, administrator, or key-person turnover within investment or valuation committee should be triggers for re-assessment.</w:t>
      </w:r>
    </w:p>
    <w:p w14:paraId="73A61046" w14:textId="0C2366E3" w:rsidR="00467A26" w:rsidRPr="00467A26" w:rsidRDefault="007676E5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>
        <w:rPr>
          <w:rFonts w:cs="Calibri"/>
        </w:rPr>
        <w:t>Breach of</w:t>
      </w:r>
      <w:r w:rsidR="00467A26" w:rsidRPr="00467A26">
        <w:rPr>
          <w:rFonts w:cs="Calibri"/>
        </w:rPr>
        <w:t xml:space="preserve"> 1940-Act interval fund standards.</w:t>
      </w:r>
    </w:p>
    <w:p w14:paraId="45258202" w14:textId="77777777" w:rsidR="00222FF3" w:rsidRDefault="00222FF3" w:rsidP="00222FF3">
      <w:pPr>
        <w:pStyle w:val="ListParagraph"/>
        <w:numPr>
          <w:ilvl w:val="1"/>
          <w:numId w:val="7"/>
        </w:numPr>
        <w:jc w:val="both"/>
      </w:pPr>
      <w:r>
        <w:t>M</w:t>
      </w:r>
      <w:r w:rsidRPr="001F223C">
        <w:t>aterial increase in fund-level expenses (all-in expense ratio rising &gt;50 bps) absent enhanced transparency or performance benefit.</w:t>
      </w:r>
    </w:p>
    <w:p w14:paraId="44CB3761" w14:textId="77777777" w:rsidR="00467A26" w:rsidRPr="00467A26" w:rsidRDefault="00467A26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Material increase in incentive-fee accruals without realized distributions or NAV accretion (suggesting income smoothing or mark-based incentives).</w:t>
      </w:r>
    </w:p>
    <w:p w14:paraId="43185815" w14:textId="68C27436" w:rsidR="00467A26" w:rsidRPr="00467A26" w:rsidRDefault="00467A26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Inconsistent communication or transparency from Destra or RBC BlueBay regarding portfolio holdings</w:t>
      </w:r>
      <w:r w:rsidR="0045075C">
        <w:rPr>
          <w:rFonts w:cs="Calibri"/>
        </w:rPr>
        <w:t xml:space="preserve"> or</w:t>
      </w:r>
      <w:r w:rsidRPr="00467A26">
        <w:rPr>
          <w:rFonts w:cs="Calibri"/>
        </w:rPr>
        <w:t xml:space="preserve"> exposures.</w:t>
      </w:r>
    </w:p>
    <w:p w14:paraId="17F80149" w14:textId="51283EC9" w:rsidR="00467A26" w:rsidRPr="00467A26" w:rsidRDefault="00467A26" w:rsidP="00467A26">
      <w:pPr>
        <w:pStyle w:val="ListParagraph"/>
        <w:numPr>
          <w:ilvl w:val="0"/>
          <w:numId w:val="7"/>
        </w:numPr>
        <w:spacing w:after="0"/>
        <w:jc w:val="both"/>
        <w:rPr>
          <w:rFonts w:cs="Calibri"/>
          <w:b/>
          <w:bCs/>
        </w:rPr>
      </w:pPr>
      <w:r w:rsidRPr="00467A26">
        <w:rPr>
          <w:rFonts w:cs="Calibri"/>
          <w:b/>
          <w:bCs/>
        </w:rPr>
        <w:t>Market</w:t>
      </w:r>
      <w:r w:rsidR="00C70762">
        <w:rPr>
          <w:rFonts w:cs="Calibri"/>
          <w:b/>
          <w:bCs/>
        </w:rPr>
        <w:t>/Macro Context</w:t>
      </w:r>
    </w:p>
    <w:p w14:paraId="20561753" w14:textId="4CA99958" w:rsidR="00467A26" w:rsidRPr="00467A26" w:rsidRDefault="00467A26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Lack of dislocation opportunity set: distressed loan and high-yield spreads &lt;400 bps, reducing potential for event-driven alph</w:t>
      </w:r>
      <w:r w:rsidR="00D43656">
        <w:rPr>
          <w:rFonts w:cs="Calibri"/>
        </w:rPr>
        <w:t>a.</w:t>
      </w:r>
    </w:p>
    <w:p w14:paraId="21C9A1C6" w14:textId="495F23BD" w:rsidR="00467A26" w:rsidRPr="00467A26" w:rsidRDefault="00467A26" w:rsidP="0094038C">
      <w:pPr>
        <w:pStyle w:val="ListParagraph"/>
        <w:numPr>
          <w:ilvl w:val="1"/>
          <w:numId w:val="7"/>
        </w:numPr>
        <w:spacing w:after="0"/>
        <w:jc w:val="both"/>
        <w:rPr>
          <w:rFonts w:cs="Calibri"/>
        </w:rPr>
      </w:pPr>
      <w:r w:rsidRPr="00467A26">
        <w:rPr>
          <w:rFonts w:cs="Calibri"/>
        </w:rPr>
        <w:t>Unexpected macro shocks (e.g., liquidity in European secondary markets) that materially impair trade execution.</w:t>
      </w:r>
    </w:p>
    <w:p w14:paraId="35434349" w14:textId="5E47DBBF" w:rsidR="00934ED5" w:rsidRPr="00A93790" w:rsidRDefault="00934ED5" w:rsidP="00A93790">
      <w:pPr>
        <w:pStyle w:val="Heading1"/>
      </w:pPr>
      <w:bookmarkStart w:id="1" w:name="_Toc209990106"/>
      <w:r w:rsidRPr="00A93790">
        <w:t>INVESTMENT MERITS</w:t>
      </w:r>
      <w:bookmarkEnd w:id="1"/>
    </w:p>
    <w:p w14:paraId="56CEE42E" w14:textId="04EC83AD" w:rsidR="00102D14" w:rsidRPr="00205221" w:rsidRDefault="00102D14" w:rsidP="00205221">
      <w:pPr>
        <w:pStyle w:val="Heading1"/>
        <w:numPr>
          <w:ilvl w:val="0"/>
          <w:numId w:val="8"/>
        </w:numPr>
        <w:spacing w:before="0"/>
        <w:ind w:left="360"/>
        <w:jc w:val="both"/>
        <w:rPr>
          <w:rFonts w:ascii="Calibri" w:eastAsia="Calibri" w:hAnsi="Calibri" w:cs="Times New Roman"/>
          <w:color w:val="auto"/>
          <w:sz w:val="22"/>
          <w:szCs w:val="22"/>
        </w:rPr>
      </w:pPr>
      <w:bookmarkStart w:id="2" w:name="_Toc209990107"/>
      <w:r w:rsidRPr="00205221"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  <w:t>Seasoned Event-Driven Credit Platform</w:t>
      </w:r>
      <w:r w:rsidR="00205221" w:rsidRPr="00205221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 xml:space="preserve">: </w:t>
      </w:r>
      <w:r w:rsidRPr="00205221">
        <w:rPr>
          <w:rFonts w:ascii="Calibri" w:eastAsia="Calibri" w:hAnsi="Calibri" w:cs="Times New Roman"/>
          <w:color w:val="auto"/>
          <w:sz w:val="22"/>
          <w:szCs w:val="22"/>
        </w:rPr>
        <w:t>BlueBay has managed event-driven credit mandates for over a decade, including through the Global Financial Crisis and COVID dislocations. The team combines trading and restructuring specialists who capture mis-priced credit risk around corporate events rather than pure default bets.</w:t>
      </w:r>
    </w:p>
    <w:p w14:paraId="61780634" w14:textId="5648EF94" w:rsidR="00102D14" w:rsidRPr="00F666E2" w:rsidRDefault="00102D14" w:rsidP="00F666E2">
      <w:pPr>
        <w:pStyle w:val="Heading1"/>
        <w:numPr>
          <w:ilvl w:val="0"/>
          <w:numId w:val="8"/>
        </w:numPr>
        <w:spacing w:before="0"/>
        <w:ind w:left="36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102D14"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  <w:t>Diversified Global Opportunity Set</w:t>
      </w:r>
      <w:r w:rsidR="00F666E2" w:rsidRPr="00F666E2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 xml:space="preserve">: </w:t>
      </w:r>
      <w:r w:rsidRPr="00F666E2">
        <w:rPr>
          <w:rFonts w:ascii="Calibri" w:eastAsia="Calibri" w:hAnsi="Calibri" w:cs="Times New Roman"/>
          <w:color w:val="auto"/>
          <w:sz w:val="22"/>
          <w:szCs w:val="22"/>
        </w:rPr>
        <w:t>Exposure spans hundreds of credits across sectors and regions with limits on single-name and sector concentration. By operating in both Europe and the U.S., the fund can rotate capital across dislocations and jurisdictions where supply / demand imbalances create pricing anomalies.</w:t>
      </w:r>
    </w:p>
    <w:p w14:paraId="23D2B1C2" w14:textId="1C02D552" w:rsidR="00102D14" w:rsidRPr="00F666E2" w:rsidRDefault="00102D14" w:rsidP="003D1B25">
      <w:pPr>
        <w:pStyle w:val="Heading1"/>
        <w:numPr>
          <w:ilvl w:val="0"/>
          <w:numId w:val="8"/>
        </w:numPr>
        <w:spacing w:before="0"/>
        <w:ind w:left="36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102D14"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  <w:t>Catalyst-Driven Return Profile</w:t>
      </w:r>
      <w:r w:rsidR="00F666E2" w:rsidRPr="00F666E2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 xml:space="preserve">: </w:t>
      </w:r>
      <w:r w:rsidRPr="00F666E2">
        <w:rPr>
          <w:rFonts w:ascii="Calibri" w:eastAsia="Calibri" w:hAnsi="Calibri" w:cs="Times New Roman"/>
          <w:color w:val="auto"/>
          <w:sz w:val="22"/>
          <w:szCs w:val="22"/>
        </w:rPr>
        <w:t>Unlike direct-lending funds that clip coupon income, CEDIX aims to realize alpha from credit catalysts—such as refinancings, asset sales or ratings upgrades—creating shorter-duration, idiosyncratic return events with less exposure to broad rate movements.</w:t>
      </w:r>
    </w:p>
    <w:p w14:paraId="6A1A5C46" w14:textId="17A128C3" w:rsidR="00102D14" w:rsidRPr="00F666E2" w:rsidRDefault="00102D14" w:rsidP="003D1B25">
      <w:pPr>
        <w:pStyle w:val="Heading1"/>
        <w:numPr>
          <w:ilvl w:val="0"/>
          <w:numId w:val="8"/>
        </w:numPr>
        <w:spacing w:before="0"/>
        <w:ind w:left="36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102D14"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  <w:lastRenderedPageBreak/>
        <w:t>Proven Ability to Deploy in Dislocations</w:t>
      </w:r>
      <w:r w:rsidR="00F666E2" w:rsidRPr="00F666E2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 xml:space="preserve">: </w:t>
      </w:r>
      <w:r w:rsidRPr="00F666E2">
        <w:rPr>
          <w:rFonts w:ascii="Calibri" w:eastAsia="Calibri" w:hAnsi="Calibri" w:cs="Times New Roman"/>
          <w:color w:val="auto"/>
          <w:sz w:val="22"/>
          <w:szCs w:val="22"/>
        </w:rPr>
        <w:t>BlueBay historically increases deployment in volatile periods (e.g., Q4 2022 / H1 2023 banking stress), buying quality credits at discounts and harvesting the pull-to-par effect. This provides embedded convexity versus static loan portfolios.</w:t>
      </w:r>
    </w:p>
    <w:p w14:paraId="59145382" w14:textId="77777777" w:rsidR="00F666E2" w:rsidRPr="00F666E2" w:rsidRDefault="00102D14" w:rsidP="003D1B25">
      <w:pPr>
        <w:pStyle w:val="Heading1"/>
        <w:numPr>
          <w:ilvl w:val="0"/>
          <w:numId w:val="8"/>
        </w:numPr>
        <w:spacing w:before="0"/>
        <w:ind w:left="36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102D14"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  <w:t>Portfolio and Liquidity Design for Private Wealth</w:t>
      </w:r>
      <w:r w:rsidR="00F666E2" w:rsidRPr="00F666E2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 xml:space="preserve">: </w:t>
      </w:r>
    </w:p>
    <w:p w14:paraId="26E0D4DA" w14:textId="77777777" w:rsidR="00B76CC8" w:rsidRDefault="00102D14" w:rsidP="00B76CC8">
      <w:pPr>
        <w:pStyle w:val="Heading1"/>
        <w:numPr>
          <w:ilvl w:val="1"/>
          <w:numId w:val="8"/>
        </w:numPr>
        <w:spacing w:before="0"/>
        <w:ind w:left="72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F666E2">
        <w:rPr>
          <w:rFonts w:ascii="Calibri" w:eastAsia="Calibri" w:hAnsi="Calibri" w:cs="Times New Roman"/>
          <w:color w:val="auto"/>
          <w:sz w:val="22"/>
          <w:szCs w:val="22"/>
        </w:rPr>
        <w:t>Daily subscription and 1099 reporting</w:t>
      </w:r>
    </w:p>
    <w:p w14:paraId="1C1D0EF6" w14:textId="77777777" w:rsidR="00B76CC8" w:rsidRDefault="00102D14" w:rsidP="00B76CC8">
      <w:pPr>
        <w:pStyle w:val="Heading1"/>
        <w:numPr>
          <w:ilvl w:val="1"/>
          <w:numId w:val="8"/>
        </w:numPr>
        <w:spacing w:before="0"/>
        <w:ind w:left="72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B76CC8">
        <w:rPr>
          <w:rFonts w:ascii="Calibri" w:eastAsia="Calibri" w:hAnsi="Calibri" w:cs="Times New Roman"/>
          <w:color w:val="auto"/>
          <w:sz w:val="22"/>
          <w:szCs w:val="22"/>
        </w:rPr>
        <w:t>Quarterly redemptions ≥ 5% of NAV</w:t>
      </w:r>
    </w:p>
    <w:p w14:paraId="31AAB5E0" w14:textId="77777777" w:rsidR="00B76CC8" w:rsidRDefault="00102D14" w:rsidP="00B76CC8">
      <w:pPr>
        <w:pStyle w:val="Heading1"/>
        <w:numPr>
          <w:ilvl w:val="1"/>
          <w:numId w:val="8"/>
        </w:numPr>
        <w:spacing w:before="0"/>
        <w:ind w:left="72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B76CC8">
        <w:rPr>
          <w:rFonts w:ascii="Calibri" w:eastAsia="Calibri" w:hAnsi="Calibri" w:cs="Times New Roman"/>
          <w:color w:val="auto"/>
          <w:sz w:val="22"/>
          <w:szCs w:val="22"/>
        </w:rPr>
        <w:t>Multi-tier liquidity sources (cash, liquid credit book, maturities, credit facility)</w:t>
      </w:r>
    </w:p>
    <w:p w14:paraId="1E76353B" w14:textId="6C631F0A" w:rsidR="00102D14" w:rsidRPr="00B76CC8" w:rsidRDefault="00102D14" w:rsidP="00B76CC8">
      <w:pPr>
        <w:pStyle w:val="Heading1"/>
        <w:numPr>
          <w:ilvl w:val="1"/>
          <w:numId w:val="8"/>
        </w:numPr>
        <w:spacing w:before="0"/>
        <w:ind w:left="72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B76CC8">
        <w:rPr>
          <w:rFonts w:ascii="Calibri" w:eastAsia="Calibri" w:hAnsi="Calibri" w:cs="Times New Roman"/>
          <w:color w:val="auto"/>
          <w:sz w:val="22"/>
          <w:szCs w:val="22"/>
        </w:rPr>
        <w:t>No capital calls; fully funded evergreen vehicle</w:t>
      </w:r>
    </w:p>
    <w:p w14:paraId="5F21DECE" w14:textId="02E72D92" w:rsidR="00102D14" w:rsidRPr="00F666E2" w:rsidRDefault="00102D14" w:rsidP="003D1B25">
      <w:pPr>
        <w:pStyle w:val="Heading1"/>
        <w:numPr>
          <w:ilvl w:val="0"/>
          <w:numId w:val="9"/>
        </w:numPr>
        <w:spacing w:before="0"/>
        <w:ind w:left="360"/>
        <w:jc w:val="both"/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</w:pPr>
      <w:r w:rsidRPr="00102D14">
        <w:rPr>
          <w:rFonts w:ascii="Calibri" w:eastAsia="Calibri" w:hAnsi="Calibri" w:cs="Times New Roman"/>
          <w:b/>
          <w:bCs/>
          <w:color w:val="auto"/>
          <w:sz w:val="22"/>
          <w:szCs w:val="22"/>
          <w:u w:val="single"/>
        </w:rPr>
        <w:t>Complement to Core Private Credit Allocations</w:t>
      </w:r>
      <w:r w:rsidR="00F666E2" w:rsidRPr="00F666E2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 xml:space="preserve">: </w:t>
      </w:r>
      <w:r w:rsidRPr="00F666E2">
        <w:rPr>
          <w:rFonts w:ascii="Calibri" w:eastAsia="Calibri" w:hAnsi="Calibri" w:cs="Times New Roman"/>
          <w:color w:val="auto"/>
          <w:sz w:val="22"/>
          <w:szCs w:val="22"/>
        </w:rPr>
        <w:t>Within Everest’s credit architecture, CEDIX adds cyclical alpha potential and global diversification to core holdings like CELFX, CCLFX and CAPIX. It sits midway on the risk/return spectrum between senior direct lending and opportunistic dislocation funds (e.g., Brigade).</w:t>
      </w:r>
    </w:p>
    <w:p w14:paraId="6A4481D7" w14:textId="48B1FA97" w:rsidR="00934ED5" w:rsidRPr="002517E4" w:rsidRDefault="00934ED5" w:rsidP="00934ED5">
      <w:pPr>
        <w:pStyle w:val="Heading1"/>
        <w:jc w:val="both"/>
        <w:rPr>
          <w:rFonts w:ascii="Calibri" w:hAnsi="Calibri" w:cs="Calibri"/>
        </w:rPr>
      </w:pPr>
      <w:r w:rsidRPr="002517E4">
        <w:rPr>
          <w:rFonts w:ascii="Calibri" w:hAnsi="Calibri" w:cs="Calibri"/>
        </w:rPr>
        <w:t>INVESTMENT RISKS &amp; MITIGANTS</w:t>
      </w:r>
      <w:bookmarkEnd w:id="2"/>
    </w:p>
    <w:p w14:paraId="14707420" w14:textId="60C48E5F" w:rsidR="000774AF" w:rsidRPr="0066182A" w:rsidRDefault="00D765C7" w:rsidP="000B6F9C">
      <w:pPr>
        <w:pStyle w:val="ListParagraph"/>
        <w:numPr>
          <w:ilvl w:val="0"/>
          <w:numId w:val="5"/>
        </w:numPr>
        <w:spacing w:after="160" w:line="259" w:lineRule="auto"/>
        <w:ind w:left="360"/>
        <w:jc w:val="both"/>
        <w:rPr>
          <w:rFonts w:cs="Calibri"/>
        </w:rPr>
      </w:pPr>
      <w:r>
        <w:rPr>
          <w:rFonts w:cs="Calibri"/>
          <w:b/>
          <w:bCs/>
          <w:u w:val="single"/>
        </w:rPr>
        <w:lastRenderedPageBreak/>
        <w:t>Concentration in European Markets</w:t>
      </w:r>
      <w:r w:rsidR="0066182A" w:rsidRPr="0066182A">
        <w:rPr>
          <w:rFonts w:cs="Calibri"/>
          <w:b/>
          <w:bCs/>
        </w:rPr>
        <w:t xml:space="preserve">: </w:t>
      </w:r>
      <w:r w:rsidR="00A20540" w:rsidRPr="00A20540">
        <w:rPr>
          <w:rFonts w:cs="Calibri"/>
        </w:rPr>
        <w:t>Currency and legal risks from EU and UK credits.</w:t>
      </w:r>
    </w:p>
    <w:p w14:paraId="3923A101" w14:textId="44DD7C21" w:rsidR="000774AF" w:rsidRPr="000774AF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</w:t>
      </w:r>
      <w:r w:rsidR="00A20540" w:rsidRPr="00A20540">
        <w:rPr>
          <w:rFonts w:cs="Calibri"/>
        </w:rPr>
        <w:t>Currency hedged book; broad sectoral mix; historical outperformance of European work-out strategies through RBC’s local presence.</w:t>
      </w:r>
    </w:p>
    <w:p w14:paraId="24EC395A" w14:textId="45D67A4B" w:rsidR="000774AF" w:rsidRPr="0066182A" w:rsidRDefault="000774AF" w:rsidP="000B6F9C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  <w:u w:val="single"/>
        </w:rPr>
      </w:pPr>
      <w:r w:rsidRPr="000774AF">
        <w:rPr>
          <w:rFonts w:cs="Calibri"/>
          <w:b/>
          <w:bCs/>
          <w:u w:val="single"/>
        </w:rPr>
        <w:t>Interval Liquidity &amp; Redemption Uncertainty</w:t>
      </w:r>
      <w:r w:rsidR="0066182A" w:rsidRPr="0066182A">
        <w:rPr>
          <w:rFonts w:cs="Calibri"/>
          <w:b/>
          <w:bCs/>
        </w:rPr>
        <w:t xml:space="preserve">: </w:t>
      </w:r>
      <w:r w:rsidRPr="0066182A">
        <w:rPr>
          <w:rFonts w:cs="Calibri"/>
        </w:rPr>
        <w:t xml:space="preserve">Quarterly tenders (min 5%) </w:t>
      </w:r>
      <w:r w:rsidRPr="003120A5">
        <w:rPr>
          <w:rFonts w:cs="Calibri"/>
        </w:rPr>
        <w:t>mean no assurance of full liquidity; in stress, repurchases may be scaled back; early repurchase fee app</w:t>
      </w:r>
      <w:r w:rsidRPr="0066182A">
        <w:rPr>
          <w:rFonts w:cs="Calibri"/>
        </w:rPr>
        <w:t xml:space="preserve">lies within 12 months. </w:t>
      </w:r>
    </w:p>
    <w:p w14:paraId="1560F56F" w14:textId="77777777" w:rsidR="000774AF" w:rsidRPr="000774AF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Position as semi-liquid private market allocation, size within client liquidity budgets, and integrate with other liquid sleeves. Treat as strategic, not transactional.</w:t>
      </w:r>
    </w:p>
    <w:p w14:paraId="799DBAB1" w14:textId="319DDAA1" w:rsidR="000774AF" w:rsidRPr="000774AF" w:rsidRDefault="000774AF" w:rsidP="000B6F9C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</w:rPr>
      </w:pPr>
      <w:r w:rsidRPr="000774AF">
        <w:rPr>
          <w:rFonts w:cs="Calibri"/>
          <w:b/>
          <w:bCs/>
          <w:u w:val="single"/>
        </w:rPr>
        <w:t>Layered Fees &amp; Incentive Economics</w:t>
      </w:r>
      <w:r w:rsidR="0066182A" w:rsidRPr="0066182A">
        <w:rPr>
          <w:rFonts w:cs="Calibri"/>
          <w:b/>
          <w:bCs/>
        </w:rPr>
        <w:t xml:space="preserve">: </w:t>
      </w:r>
      <w:r w:rsidRPr="000774AF">
        <w:rPr>
          <w:rFonts w:cs="Calibri"/>
        </w:rPr>
        <w:t xml:space="preserve">Management fee + potential incentive fee at the fund level, plus fees/Carry at underlying funds = meaningful all-in fee stack. </w:t>
      </w:r>
    </w:p>
    <w:p w14:paraId="33101176" w14:textId="77777777" w:rsidR="000774AF" w:rsidRPr="000774AF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Evaluate net-of-fee yield and return vs. direct lending and other interval peers; discounts and portfolio construction must more than offset fee drag. Make continued allocation contingent on maintaining superior net risk-adjusted outcomes.</w:t>
      </w:r>
    </w:p>
    <w:p w14:paraId="1EF6054F" w14:textId="63BDEE51" w:rsidR="000774AF" w:rsidRPr="000774AF" w:rsidRDefault="000774AF" w:rsidP="000B6F9C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</w:rPr>
      </w:pPr>
      <w:r w:rsidRPr="000774AF">
        <w:rPr>
          <w:rFonts w:cs="Calibri"/>
          <w:b/>
          <w:bCs/>
          <w:u w:val="single"/>
        </w:rPr>
        <w:t>Valuation, Transparency &amp; Complexity</w:t>
      </w:r>
      <w:r w:rsidR="0066182A" w:rsidRPr="0066182A">
        <w:rPr>
          <w:rFonts w:cs="Calibri"/>
          <w:b/>
          <w:bCs/>
        </w:rPr>
        <w:t xml:space="preserve">: </w:t>
      </w:r>
      <w:r w:rsidR="00ED38DB" w:rsidRPr="00ED38DB">
        <w:rPr>
          <w:rFonts w:cs="Calibri"/>
        </w:rPr>
        <w:t>Non-traded assets require manager estimation.</w:t>
      </w:r>
    </w:p>
    <w:p w14:paraId="5F3674F3" w14:textId="1F60FA58" w:rsidR="000774AF" w:rsidRPr="000774AF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</w:t>
      </w:r>
      <w:r w:rsidR="00ED38DB" w:rsidRPr="00ED38DB">
        <w:rPr>
          <w:rFonts w:cs="Calibri"/>
        </w:rPr>
        <w:t>RBC BlueBay’s independent pricing committee and third-party valuation agents; daily NAV reporting adds discipline.</w:t>
      </w:r>
    </w:p>
    <w:p w14:paraId="4F03A698" w14:textId="1A860D4A" w:rsidR="000774AF" w:rsidRPr="003120A5" w:rsidRDefault="000774AF" w:rsidP="000B6F9C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  <w:u w:val="single"/>
        </w:rPr>
      </w:pPr>
      <w:r w:rsidRPr="000774AF">
        <w:rPr>
          <w:rFonts w:cs="Calibri"/>
          <w:b/>
          <w:bCs/>
          <w:u w:val="single"/>
        </w:rPr>
        <w:lastRenderedPageBreak/>
        <w:t>Credit &amp; Macroeconomic Risk</w:t>
      </w:r>
      <w:r w:rsidR="0066182A" w:rsidRPr="0066182A">
        <w:rPr>
          <w:rFonts w:cs="Calibri"/>
          <w:b/>
          <w:bCs/>
        </w:rPr>
        <w:t xml:space="preserve">: </w:t>
      </w:r>
      <w:r w:rsidRPr="0066182A">
        <w:rPr>
          <w:rFonts w:cs="Calibri"/>
        </w:rPr>
        <w:t xml:space="preserve">Concentration in U.S. private credit; cyclicality in leveraged borrowers; risk of elevated defaults or recoveries below underwritten cases; secondary discounts may not fully offset </w:t>
      </w:r>
      <w:r w:rsidRPr="003120A5">
        <w:rPr>
          <w:rFonts w:cs="Calibri"/>
        </w:rPr>
        <w:t>severe stress scenarios.</w:t>
      </w:r>
    </w:p>
    <w:p w14:paraId="5A1AF13B" w14:textId="77777777" w:rsidR="000774AF" w:rsidRPr="000774AF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Focus on senior secured, diversified, seasoned loans with tested covenants and demonstrated payment history; discounts create loss-absorption buffer; require ongoing review of default experience vs. implied cushion and of sector concentrations.</w:t>
      </w:r>
    </w:p>
    <w:p w14:paraId="1CA3517C" w14:textId="34ACBEB8" w:rsidR="000774AF" w:rsidRPr="0066182A" w:rsidRDefault="000774AF" w:rsidP="000B6F9C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  <w:u w:val="single"/>
        </w:rPr>
      </w:pPr>
      <w:r w:rsidRPr="000774AF">
        <w:rPr>
          <w:rFonts w:cs="Calibri"/>
          <w:b/>
          <w:bCs/>
          <w:u w:val="single"/>
        </w:rPr>
        <w:t>Use of Leverage (Fund &amp; Underlying)</w:t>
      </w:r>
      <w:r w:rsidR="0066182A" w:rsidRPr="0066182A">
        <w:rPr>
          <w:rFonts w:cs="Calibri"/>
          <w:b/>
          <w:bCs/>
        </w:rPr>
        <w:t xml:space="preserve">: </w:t>
      </w:r>
      <w:r w:rsidRPr="0066182A">
        <w:rPr>
          <w:rFonts w:cs="Calibri"/>
        </w:rPr>
        <w:t xml:space="preserve">Leverage at the fund and underlying fund levels can amplify drawdowns and liquidity risk, especially if asset marks decline into repurchase windows. </w:t>
      </w:r>
    </w:p>
    <w:p w14:paraId="4079B4C6" w14:textId="77777777" w:rsidR="000774AF" w:rsidRPr="000774AF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Monitor effective look-through leverage; prefer consistent utilization at conservative levels; consider position sizing alongside other levered credit exposures (BDCs, CLOs, etc.).</w:t>
      </w:r>
    </w:p>
    <w:p w14:paraId="0EA1DE2E" w14:textId="62A3D1CB" w:rsidR="000774AF" w:rsidRPr="0066182A" w:rsidRDefault="00874B7F" w:rsidP="000B6F9C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  <w:u w:val="single"/>
        </w:rPr>
      </w:pPr>
      <w:r>
        <w:rPr>
          <w:rFonts w:cs="Calibri"/>
          <w:b/>
          <w:bCs/>
          <w:u w:val="single"/>
        </w:rPr>
        <w:t>Correlation to Risk Assets</w:t>
      </w:r>
      <w:r w:rsidR="0066182A" w:rsidRPr="0066182A">
        <w:rPr>
          <w:rFonts w:cs="Calibri"/>
          <w:b/>
          <w:bCs/>
        </w:rPr>
        <w:t xml:space="preserve">: </w:t>
      </w:r>
      <w:r w:rsidRPr="00874B7F">
        <w:rPr>
          <w:rFonts w:cs="Calibri"/>
        </w:rPr>
        <w:t>Event windows can overlap with credit market sell-offs.</w:t>
      </w:r>
    </w:p>
    <w:p w14:paraId="6E9F1AC0" w14:textId="094EDD88" w:rsidR="006B2538" w:rsidRDefault="000774AF" w:rsidP="000B6F9C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</w:t>
      </w:r>
      <w:r w:rsidR="00FF14BF" w:rsidRPr="00FF14BF">
        <w:rPr>
          <w:rFonts w:cs="Calibri"/>
        </w:rPr>
        <w:t>Diversified book with 50–60% in idiosyncratic workouts less sensitive to spread beta; low duration profile reduces interest-rate exposure.</w:t>
      </w:r>
    </w:p>
    <w:p w14:paraId="78D30079" w14:textId="60F9D259" w:rsidR="00AB5A50" w:rsidRPr="0066182A" w:rsidRDefault="00AB5A50" w:rsidP="00AB5A50">
      <w:pPr>
        <w:pStyle w:val="ListParagraph"/>
        <w:numPr>
          <w:ilvl w:val="0"/>
          <w:numId w:val="3"/>
        </w:numPr>
        <w:spacing w:after="160" w:line="259" w:lineRule="auto"/>
        <w:ind w:left="360"/>
        <w:jc w:val="both"/>
        <w:rPr>
          <w:rFonts w:cs="Calibri"/>
          <w:u w:val="single"/>
        </w:rPr>
      </w:pPr>
      <w:r>
        <w:rPr>
          <w:rFonts w:cs="Calibri"/>
          <w:b/>
          <w:bCs/>
          <w:u w:val="single"/>
        </w:rPr>
        <w:t>Anemic Fundraising</w:t>
      </w:r>
      <w:r w:rsidRPr="0066182A">
        <w:rPr>
          <w:rFonts w:cs="Calibri"/>
          <w:b/>
          <w:bCs/>
        </w:rPr>
        <w:t xml:space="preserve">: </w:t>
      </w:r>
      <w:r w:rsidR="00EE2FA5">
        <w:rPr>
          <w:rFonts w:cs="Calibri"/>
        </w:rPr>
        <w:t>The secondaries market in the evergreen space is dependent on new assets coming in; otherwise returns will like stagnate or decline.</w:t>
      </w:r>
    </w:p>
    <w:p w14:paraId="51C61E43" w14:textId="307AFEAC" w:rsidR="00AB5A50" w:rsidRDefault="00AB5A50" w:rsidP="00AB5A50">
      <w:pPr>
        <w:pStyle w:val="ListParagraph"/>
        <w:numPr>
          <w:ilvl w:val="1"/>
          <w:numId w:val="3"/>
        </w:numPr>
        <w:spacing w:after="160" w:line="259" w:lineRule="auto"/>
        <w:ind w:left="720"/>
        <w:jc w:val="both"/>
        <w:rPr>
          <w:rFonts w:cs="Calibri"/>
        </w:rPr>
      </w:pPr>
      <w:r w:rsidRPr="000774AF">
        <w:rPr>
          <w:rFonts w:cs="Calibri"/>
          <w:i/>
          <w:iCs/>
        </w:rPr>
        <w:t>Mitigant:</w:t>
      </w:r>
      <w:r w:rsidRPr="000774AF">
        <w:rPr>
          <w:rFonts w:cs="Calibri"/>
        </w:rPr>
        <w:t xml:space="preserve"> </w:t>
      </w:r>
      <w:r w:rsidR="000C1FEC">
        <w:rPr>
          <w:rFonts w:cs="Calibri"/>
        </w:rPr>
        <w:t xml:space="preserve">The fund is already of scale so it should commend higher credibility than other new entrants.  RBC’s </w:t>
      </w:r>
      <w:r w:rsidR="00EE2FA5">
        <w:rPr>
          <w:rFonts w:cs="Calibri"/>
        </w:rPr>
        <w:t>taking over the fund should put it in a better marketing position.</w:t>
      </w:r>
    </w:p>
    <w:p w14:paraId="4790FDD6" w14:textId="24076907" w:rsidR="00AB5A50" w:rsidRPr="00AB5A50" w:rsidRDefault="00AB5A50" w:rsidP="00AB5A50">
      <w:pPr>
        <w:spacing w:after="160" w:line="259" w:lineRule="auto"/>
        <w:ind w:left="360"/>
        <w:jc w:val="both"/>
        <w:rPr>
          <w:rFonts w:cs="Calibri"/>
        </w:rPr>
      </w:pPr>
    </w:p>
    <w:sectPr w:rsidR="00AB5A50" w:rsidRPr="00AB5A50" w:rsidSect="00934ED5">
      <w:footerReference w:type="even" r:id="rId7"/>
      <w:footerReference w:type="default" r:id="rId8"/>
      <w:pgSz w:w="12240" w:h="15840"/>
      <w:pgMar w:top="90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F4CB" w14:textId="77777777" w:rsidR="00C7779E" w:rsidRDefault="00C7779E">
      <w:pPr>
        <w:spacing w:after="0" w:line="240" w:lineRule="auto"/>
      </w:pPr>
      <w:r>
        <w:separator/>
      </w:r>
    </w:p>
  </w:endnote>
  <w:endnote w:type="continuationSeparator" w:id="0">
    <w:p w14:paraId="5A28B5F7" w14:textId="77777777" w:rsidR="00C7779E" w:rsidRDefault="00C77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EBAEC" w14:textId="68676A0E" w:rsidR="00934ED5" w:rsidRDefault="00934ED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D353C">
      <w:rPr>
        <w:rStyle w:val="PageNumber"/>
        <w:noProof/>
      </w:rPr>
      <w:t>5</w:t>
    </w:r>
    <w:r>
      <w:rPr>
        <w:rStyle w:val="PageNumber"/>
      </w:rPr>
      <w:fldChar w:fldCharType="end"/>
    </w:r>
  </w:p>
  <w:p w14:paraId="1C15EA8B" w14:textId="77777777" w:rsidR="00934ED5" w:rsidRDefault="00934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582F" w14:textId="77777777" w:rsidR="00934ED5" w:rsidRDefault="00934ED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B67DCB1" w14:textId="77777777" w:rsidR="00934ED5" w:rsidRDefault="00934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A311" w14:textId="77777777" w:rsidR="00C7779E" w:rsidRDefault="00C7779E">
      <w:pPr>
        <w:spacing w:after="0" w:line="240" w:lineRule="auto"/>
      </w:pPr>
      <w:r>
        <w:separator/>
      </w:r>
    </w:p>
  </w:footnote>
  <w:footnote w:type="continuationSeparator" w:id="0">
    <w:p w14:paraId="54216EF3" w14:textId="77777777" w:rsidR="00C7779E" w:rsidRDefault="00C77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95C"/>
    <w:multiLevelType w:val="multilevel"/>
    <w:tmpl w:val="2FF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7E6D"/>
    <w:multiLevelType w:val="hybridMultilevel"/>
    <w:tmpl w:val="F8BC0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743CC"/>
    <w:multiLevelType w:val="hybridMultilevel"/>
    <w:tmpl w:val="5986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658F4"/>
    <w:multiLevelType w:val="multilevel"/>
    <w:tmpl w:val="C21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36157"/>
    <w:multiLevelType w:val="hybridMultilevel"/>
    <w:tmpl w:val="03E4A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81800"/>
    <w:multiLevelType w:val="multilevel"/>
    <w:tmpl w:val="D57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52A07"/>
    <w:multiLevelType w:val="hybridMultilevel"/>
    <w:tmpl w:val="01D82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5169D"/>
    <w:multiLevelType w:val="multilevel"/>
    <w:tmpl w:val="8C2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113E"/>
    <w:multiLevelType w:val="hybridMultilevel"/>
    <w:tmpl w:val="78220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D325F4"/>
    <w:multiLevelType w:val="hybridMultilevel"/>
    <w:tmpl w:val="99DE4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60331"/>
    <w:multiLevelType w:val="hybridMultilevel"/>
    <w:tmpl w:val="6250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E329D"/>
    <w:multiLevelType w:val="multilevel"/>
    <w:tmpl w:val="D42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91120"/>
    <w:multiLevelType w:val="multilevel"/>
    <w:tmpl w:val="417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D1060"/>
    <w:multiLevelType w:val="hybridMultilevel"/>
    <w:tmpl w:val="C854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428159">
    <w:abstractNumId w:val="1"/>
  </w:num>
  <w:num w:numId="2" w16cid:durableId="1315334879">
    <w:abstractNumId w:val="2"/>
  </w:num>
  <w:num w:numId="3" w16cid:durableId="1185098614">
    <w:abstractNumId w:val="10"/>
  </w:num>
  <w:num w:numId="4" w16cid:durableId="394085653">
    <w:abstractNumId w:val="12"/>
  </w:num>
  <w:num w:numId="5" w16cid:durableId="347023562">
    <w:abstractNumId w:val="13"/>
  </w:num>
  <w:num w:numId="6" w16cid:durableId="140117671">
    <w:abstractNumId w:val="9"/>
  </w:num>
  <w:num w:numId="7" w16cid:durableId="417485218">
    <w:abstractNumId w:val="8"/>
  </w:num>
  <w:num w:numId="8" w16cid:durableId="1114059294">
    <w:abstractNumId w:val="6"/>
  </w:num>
  <w:num w:numId="9" w16cid:durableId="16930473">
    <w:abstractNumId w:val="4"/>
  </w:num>
  <w:num w:numId="10" w16cid:durableId="1240366561">
    <w:abstractNumId w:val="5"/>
  </w:num>
  <w:num w:numId="11" w16cid:durableId="889263724">
    <w:abstractNumId w:val="11"/>
  </w:num>
  <w:num w:numId="12" w16cid:durableId="2077899472">
    <w:abstractNumId w:val="7"/>
  </w:num>
  <w:num w:numId="13" w16cid:durableId="1646281020">
    <w:abstractNumId w:val="0"/>
  </w:num>
  <w:num w:numId="14" w16cid:durableId="26909151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D5"/>
    <w:rsid w:val="0002659F"/>
    <w:rsid w:val="000425C4"/>
    <w:rsid w:val="00042FD8"/>
    <w:rsid w:val="00046C50"/>
    <w:rsid w:val="000538AC"/>
    <w:rsid w:val="00053BC6"/>
    <w:rsid w:val="000606BD"/>
    <w:rsid w:val="00077264"/>
    <w:rsid w:val="000774AF"/>
    <w:rsid w:val="00084899"/>
    <w:rsid w:val="00093BB4"/>
    <w:rsid w:val="000950DF"/>
    <w:rsid w:val="000A101B"/>
    <w:rsid w:val="000A6440"/>
    <w:rsid w:val="000B2533"/>
    <w:rsid w:val="000B6F9C"/>
    <w:rsid w:val="000C1FEC"/>
    <w:rsid w:val="000C6877"/>
    <w:rsid w:val="000D4889"/>
    <w:rsid w:val="000E6FEE"/>
    <w:rsid w:val="000F146B"/>
    <w:rsid w:val="000F278F"/>
    <w:rsid w:val="000F6BF8"/>
    <w:rsid w:val="0010079D"/>
    <w:rsid w:val="00102C1B"/>
    <w:rsid w:val="00102D14"/>
    <w:rsid w:val="00106384"/>
    <w:rsid w:val="00144751"/>
    <w:rsid w:val="0015161E"/>
    <w:rsid w:val="00153C9B"/>
    <w:rsid w:val="0016282A"/>
    <w:rsid w:val="00167FF9"/>
    <w:rsid w:val="00171C04"/>
    <w:rsid w:val="00187463"/>
    <w:rsid w:val="00187F0C"/>
    <w:rsid w:val="001943AB"/>
    <w:rsid w:val="001C60B9"/>
    <w:rsid w:val="001D1B39"/>
    <w:rsid w:val="001F0B2E"/>
    <w:rsid w:val="001F3B55"/>
    <w:rsid w:val="00205221"/>
    <w:rsid w:val="00210439"/>
    <w:rsid w:val="00222FF3"/>
    <w:rsid w:val="00230D50"/>
    <w:rsid w:val="002517E4"/>
    <w:rsid w:val="002678B7"/>
    <w:rsid w:val="00283A99"/>
    <w:rsid w:val="00292EB2"/>
    <w:rsid w:val="0029521C"/>
    <w:rsid w:val="002C024D"/>
    <w:rsid w:val="002D1080"/>
    <w:rsid w:val="002D2FA5"/>
    <w:rsid w:val="002E4205"/>
    <w:rsid w:val="002F0757"/>
    <w:rsid w:val="002F67D3"/>
    <w:rsid w:val="003062C3"/>
    <w:rsid w:val="003120A5"/>
    <w:rsid w:val="00317439"/>
    <w:rsid w:val="00322E54"/>
    <w:rsid w:val="00332B56"/>
    <w:rsid w:val="003405AA"/>
    <w:rsid w:val="003535D0"/>
    <w:rsid w:val="0036192E"/>
    <w:rsid w:val="003731E8"/>
    <w:rsid w:val="003934F3"/>
    <w:rsid w:val="00395DDA"/>
    <w:rsid w:val="003A1A63"/>
    <w:rsid w:val="003B5F4B"/>
    <w:rsid w:val="003D1B25"/>
    <w:rsid w:val="003F011C"/>
    <w:rsid w:val="003F5F37"/>
    <w:rsid w:val="0042414D"/>
    <w:rsid w:val="0042778A"/>
    <w:rsid w:val="00440E3A"/>
    <w:rsid w:val="00446B0C"/>
    <w:rsid w:val="0045075C"/>
    <w:rsid w:val="00456336"/>
    <w:rsid w:val="0046385A"/>
    <w:rsid w:val="00467A26"/>
    <w:rsid w:val="00485206"/>
    <w:rsid w:val="004A599E"/>
    <w:rsid w:val="004B5672"/>
    <w:rsid w:val="004D331E"/>
    <w:rsid w:val="004D60E3"/>
    <w:rsid w:val="004E54F4"/>
    <w:rsid w:val="004F0EC5"/>
    <w:rsid w:val="004F64BB"/>
    <w:rsid w:val="00516681"/>
    <w:rsid w:val="00577726"/>
    <w:rsid w:val="00593A9D"/>
    <w:rsid w:val="005A0F5E"/>
    <w:rsid w:val="005A2EF3"/>
    <w:rsid w:val="005D0043"/>
    <w:rsid w:val="005F0DBC"/>
    <w:rsid w:val="00601634"/>
    <w:rsid w:val="00601DF6"/>
    <w:rsid w:val="0062093B"/>
    <w:rsid w:val="0062541A"/>
    <w:rsid w:val="0064544A"/>
    <w:rsid w:val="0066182A"/>
    <w:rsid w:val="00663FDB"/>
    <w:rsid w:val="00670EB5"/>
    <w:rsid w:val="00687C4F"/>
    <w:rsid w:val="006B20AB"/>
    <w:rsid w:val="006B2538"/>
    <w:rsid w:val="006B2B3F"/>
    <w:rsid w:val="006E2B80"/>
    <w:rsid w:val="006F1066"/>
    <w:rsid w:val="00701B74"/>
    <w:rsid w:val="007049D1"/>
    <w:rsid w:val="00732D58"/>
    <w:rsid w:val="00733A95"/>
    <w:rsid w:val="00736FEC"/>
    <w:rsid w:val="0074584B"/>
    <w:rsid w:val="007676E5"/>
    <w:rsid w:val="00767961"/>
    <w:rsid w:val="00770E92"/>
    <w:rsid w:val="00777E58"/>
    <w:rsid w:val="00784589"/>
    <w:rsid w:val="007A1CF8"/>
    <w:rsid w:val="007B241F"/>
    <w:rsid w:val="007D33BF"/>
    <w:rsid w:val="007D7164"/>
    <w:rsid w:val="007E1CF3"/>
    <w:rsid w:val="00834D39"/>
    <w:rsid w:val="00841036"/>
    <w:rsid w:val="008423E5"/>
    <w:rsid w:val="0084317F"/>
    <w:rsid w:val="008473F6"/>
    <w:rsid w:val="008500C2"/>
    <w:rsid w:val="00860831"/>
    <w:rsid w:val="008628B2"/>
    <w:rsid w:val="0087023D"/>
    <w:rsid w:val="008709F0"/>
    <w:rsid w:val="00872B76"/>
    <w:rsid w:val="00874B7F"/>
    <w:rsid w:val="0088718F"/>
    <w:rsid w:val="00895B29"/>
    <w:rsid w:val="008B502E"/>
    <w:rsid w:val="008B7423"/>
    <w:rsid w:val="008D2AE9"/>
    <w:rsid w:val="008F7E78"/>
    <w:rsid w:val="00925A37"/>
    <w:rsid w:val="00934ED5"/>
    <w:rsid w:val="0094038C"/>
    <w:rsid w:val="00956BE8"/>
    <w:rsid w:val="009800C5"/>
    <w:rsid w:val="00997FD3"/>
    <w:rsid w:val="009C7679"/>
    <w:rsid w:val="00A11CB5"/>
    <w:rsid w:val="00A20540"/>
    <w:rsid w:val="00A2359B"/>
    <w:rsid w:val="00A27494"/>
    <w:rsid w:val="00A37070"/>
    <w:rsid w:val="00A41F96"/>
    <w:rsid w:val="00A46902"/>
    <w:rsid w:val="00A551CC"/>
    <w:rsid w:val="00A57185"/>
    <w:rsid w:val="00A7344A"/>
    <w:rsid w:val="00A84787"/>
    <w:rsid w:val="00A93790"/>
    <w:rsid w:val="00A94F31"/>
    <w:rsid w:val="00AB5A50"/>
    <w:rsid w:val="00AF4D6C"/>
    <w:rsid w:val="00AF5AD9"/>
    <w:rsid w:val="00B0468C"/>
    <w:rsid w:val="00B22C65"/>
    <w:rsid w:val="00B3298C"/>
    <w:rsid w:val="00B423A5"/>
    <w:rsid w:val="00B42AA0"/>
    <w:rsid w:val="00B43E43"/>
    <w:rsid w:val="00B44DDF"/>
    <w:rsid w:val="00B5384F"/>
    <w:rsid w:val="00B61F2B"/>
    <w:rsid w:val="00B70168"/>
    <w:rsid w:val="00B76CC8"/>
    <w:rsid w:val="00BB2531"/>
    <w:rsid w:val="00BB326C"/>
    <w:rsid w:val="00BD0FCF"/>
    <w:rsid w:val="00BF5F50"/>
    <w:rsid w:val="00C016B3"/>
    <w:rsid w:val="00C15F6A"/>
    <w:rsid w:val="00C214FD"/>
    <w:rsid w:val="00C44D3A"/>
    <w:rsid w:val="00C57E2A"/>
    <w:rsid w:val="00C66210"/>
    <w:rsid w:val="00C70762"/>
    <w:rsid w:val="00C7779E"/>
    <w:rsid w:val="00C837DC"/>
    <w:rsid w:val="00C96B96"/>
    <w:rsid w:val="00CB64F3"/>
    <w:rsid w:val="00CB7B4D"/>
    <w:rsid w:val="00CC132B"/>
    <w:rsid w:val="00CF038B"/>
    <w:rsid w:val="00CF64BC"/>
    <w:rsid w:val="00CF7258"/>
    <w:rsid w:val="00D31216"/>
    <w:rsid w:val="00D43656"/>
    <w:rsid w:val="00D471B7"/>
    <w:rsid w:val="00D503C9"/>
    <w:rsid w:val="00D53AF6"/>
    <w:rsid w:val="00D57CB4"/>
    <w:rsid w:val="00D67ED5"/>
    <w:rsid w:val="00D765C7"/>
    <w:rsid w:val="00D94988"/>
    <w:rsid w:val="00DA40CA"/>
    <w:rsid w:val="00DA55F0"/>
    <w:rsid w:val="00DB540D"/>
    <w:rsid w:val="00DC2676"/>
    <w:rsid w:val="00DC4389"/>
    <w:rsid w:val="00DD353C"/>
    <w:rsid w:val="00DD54B7"/>
    <w:rsid w:val="00DF11F8"/>
    <w:rsid w:val="00DF1BCA"/>
    <w:rsid w:val="00DF6961"/>
    <w:rsid w:val="00E04AF0"/>
    <w:rsid w:val="00E21EEE"/>
    <w:rsid w:val="00E54C06"/>
    <w:rsid w:val="00E62C55"/>
    <w:rsid w:val="00E64724"/>
    <w:rsid w:val="00E7077C"/>
    <w:rsid w:val="00E725F5"/>
    <w:rsid w:val="00E73C19"/>
    <w:rsid w:val="00E87769"/>
    <w:rsid w:val="00E90200"/>
    <w:rsid w:val="00E91089"/>
    <w:rsid w:val="00EA4DC4"/>
    <w:rsid w:val="00EB05D2"/>
    <w:rsid w:val="00EB17D7"/>
    <w:rsid w:val="00EB2F14"/>
    <w:rsid w:val="00EB6667"/>
    <w:rsid w:val="00ED038B"/>
    <w:rsid w:val="00ED38DB"/>
    <w:rsid w:val="00EE2FA5"/>
    <w:rsid w:val="00EE69D1"/>
    <w:rsid w:val="00EE7232"/>
    <w:rsid w:val="00EF3C17"/>
    <w:rsid w:val="00F1095B"/>
    <w:rsid w:val="00F23295"/>
    <w:rsid w:val="00F26D20"/>
    <w:rsid w:val="00F2728C"/>
    <w:rsid w:val="00F33C7B"/>
    <w:rsid w:val="00F666E2"/>
    <w:rsid w:val="00F87691"/>
    <w:rsid w:val="00FB75DC"/>
    <w:rsid w:val="00FC423C"/>
    <w:rsid w:val="00FC599F"/>
    <w:rsid w:val="00FD0843"/>
    <w:rsid w:val="00FE7880"/>
    <w:rsid w:val="00FF1201"/>
    <w:rsid w:val="00FF14B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DC4C"/>
  <w15:chartTrackingRefBased/>
  <w15:docId w15:val="{162F7F53-15E8-4116-A9C5-244FF037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F3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3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34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3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3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3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3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34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4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3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93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3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93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93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93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ED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934ED5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934ED5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Footer">
    <w:name w:val="footer"/>
    <w:basedOn w:val="Normal"/>
    <w:link w:val="FooterChar"/>
    <w:rsid w:val="00934ED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934ED5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934ED5"/>
  </w:style>
  <w:style w:type="character" w:styleId="CommentReference">
    <w:name w:val="annotation reference"/>
    <w:uiPriority w:val="99"/>
    <w:semiHidden/>
    <w:unhideWhenUsed/>
    <w:rsid w:val="00934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4E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4ED5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ED5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ED5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ED5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934ED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4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ED5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4E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4ED5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34ED5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34ED5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34ED5"/>
    <w:pPr>
      <w:tabs>
        <w:tab w:val="left" w:pos="45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934ED5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934ED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34ED5"/>
    <w:pPr>
      <w:spacing w:after="100"/>
      <w:ind w:left="220"/>
    </w:pPr>
  </w:style>
  <w:style w:type="table" w:styleId="TableGrid">
    <w:name w:val="Table Grid"/>
    <w:basedOn w:val="TableNormal"/>
    <w:uiPriority w:val="39"/>
    <w:rsid w:val="00934ED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4ED5"/>
    <w:rPr>
      <w:color w:val="605E5C"/>
      <w:shd w:val="clear" w:color="auto" w:fill="E1DFDD"/>
    </w:rPr>
  </w:style>
  <w:style w:type="paragraph" w:customStyle="1" w:styleId="Default">
    <w:name w:val="Default"/>
    <w:rsid w:val="00934E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1C0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1179</Words>
  <Characters>7362</Characters>
  <Application>Microsoft Office Word</Application>
  <DocSecurity>0</DocSecurity>
  <Lines>156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Bong-Seok Choi</dc:creator>
  <cp:keywords/>
  <dc:description/>
  <cp:lastModifiedBy>Bong-Seok Choi</cp:lastModifiedBy>
  <cp:revision>67</cp:revision>
  <dcterms:created xsi:type="dcterms:W3CDTF">2025-11-11T05:57:00Z</dcterms:created>
  <dcterms:modified xsi:type="dcterms:W3CDTF">2025-11-11T16:59:00Z</dcterms:modified>
</cp:coreProperties>
</file>