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November</w:t>
      </w:r>
      <w:r>
        <w:t xml:space="preserve"> </w:t>
      </w:r>
      <w:r>
        <w:t xml:space="preserve">27</w:t>
      </w:r>
      <w:r>
        <w:t xml:space="preserve"> </w:t>
      </w:r>
      <w:r>
        <w:t xml:space="preserve">2014</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3.1.0). Further details are available in the associated R markdown file which also contains the R code to produce all the results when the markdown is run. Code blocks have been supressed in the outputted document.</w:t>
      </w:r>
      <w:r>
        <w:t xml:space="preserve"> </w:t>
      </w:r>
    </w:p>
    <w:p>
      <w:r>
        <w:pict>
          <v:rect style="width:0;height:1.5pt" o:hralign="center" o:hrstd="t" o:hr="t"/>
        </w:pic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 (?). The size of this population in 2014 is ??. The overall population is split into heterosexual males, females, and males who are gay, bisexual or men who have sex whith men (GBM). We assume females are do not engage in sex work and the ATRAS population does not include people who inject drugs (PWID). The porportion of people in each of these populations is based on ATRAS data and assumed to be constant over time.</w:t>
      </w:r>
    </w:p>
    <w:p>
      <w:r>
        <w:t xml:space="preserve">The number of medicare ineligibles can change over time with people becoming eligible for medicare provided ART and new temporary residents entering the population. The rates of entering the population and becoming medicare eligible are assumed to be constant.</w:t>
      </w:r>
    </w:p>
    <w:bookmarkStart w:id="23" w:name="clinical-characteristics"/>
    <w:p>
      <w:pPr>
        <w:pStyle w:val="Heading4"/>
      </w:pPr>
      <w:r>
        <w:t xml:space="preserve">Clinical characteristics</w:t>
      </w:r>
    </w:p>
    <w:bookmarkEnd w:id="23"/>
    <w:bookmarkStart w:id="24" w:name="hiv-transmission-to-partners"/>
    <w:p>
      <w:pPr>
        <w:pStyle w:val="Heading4"/>
      </w:pPr>
      <w:r>
        <w:t xml:space="preserve">HIV transmission to partners</w:t>
      </w:r>
    </w:p>
    <w:bookmarkEnd w:id="24"/>
    <w:p>
      <w:pPr>
        <w:pStyle w:val="Compact"/>
        <w:numPr>
          <w:numId w:val="2"/>
          <w:ilvl w:val="0"/>
        </w:numPr>
      </w:pPr>
      <w:r>
        <w:t xml:space="preserve">summarise calculations for each year</w:t>
      </w:r>
    </w:p>
    <w:bookmarkStart w:id="25" w:name="parameter-table"/>
    <w:p>
      <w:pPr>
        <w:pStyle w:val="Heading4"/>
      </w:pPr>
      <w:r>
        <w:t xml:space="preserve">Parameter table</w:t>
      </w:r>
    </w:p>
    <w:bookmarkEnd w:id="25"/>
    <w:p>
      <w:pPr>
        <w:pStyle w:val="Compact"/>
        <w:numPr>
          <w:numId w:val="3"/>
          <w:ilvl w:val="0"/>
        </w:numPr>
      </w:pPr>
      <w:r>
        <w:t xml:space="preserve">incoporate a full parmater table</w:t>
      </w:r>
    </w:p>
    <w:p>
      <w:r>
        <w:rPr>
          <w:b/>
        </w:rPr>
        <w:t xml:space="preserve">Table 1</w:t>
      </w:r>
      <w:r>
        <w:t xml:space="preserve"> </w:t>
      </w:r>
      <w:r>
        <w:t xml:space="preserve">- Calculation input parameters</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m:oMath>
              <m:r>
                <m:rPr/>
                <m:t>N</m:t>
              </m:r>
            </m:oMath>
          </w:p>
        </w:tc>
        <w:tc>
          <w:p>
            <w:pPr>
              <w:pStyle w:val="Compact"/>
              <w:jc w:val="left"/>
            </w:pPr>
            <w:r>
              <w:t xml:space="preserve">Overall population size in 2014</w:t>
            </w:r>
          </w:p>
        </w:tc>
        <w:tc>
          <w:p>
            <w:pPr>
              <w:pStyle w:val="Compact"/>
              <w:jc w:val="left"/>
            </w:pPr>
            <w:r>
              <w:t xml:space="preserve">400</w:t>
            </w:r>
          </w:p>
        </w:tc>
        <w:tc>
          <w:p>
            <w:pPr>
              <w:pStyle w:val="Compact"/>
              <w:jc w:val="left"/>
            </w:pPr>
            <w:r>
              <w:t xml:space="preserve">[350 - 450]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0.04 /yr</w:t>
            </w:r>
          </w:p>
        </w:tc>
        <w:tc>
          <w:p>
            <w:pPr>
              <w:pStyle w:val="Compact"/>
              <w:jc w:val="left"/>
            </w:pPr>
            <w:r>
              <w:t xml:space="preserve">[350 - 450]</w:t>
            </w:r>
          </w:p>
        </w:tc>
      </w:tr>
      <w:tr>
        <w:tc>
          <w:p>
            <w:pPr>
              <w:pStyle w:val="Compact"/>
              <w:jc w:val="left"/>
            </w:pPr>
            <m:oMath>
              <m:r>
                <m:rPr/>
                <m:t>μ</m:t>
              </m:r>
            </m:oMath>
          </w:p>
        </w:tc>
        <w:tc>
          <w:p>
            <w:pPr>
              <w:pStyle w:val="Compact"/>
              <w:jc w:val="left"/>
            </w:pPr>
            <w:r>
              <w:t xml:space="preserve">Rate people beome medicare eligible</w:t>
            </w:r>
          </w:p>
        </w:tc>
        <w:tc>
          <w:p>
            <w:pPr>
              <w:pStyle w:val="Compact"/>
              <w:jc w:val="left"/>
            </w:pPr>
            <w:r>
              <w:t xml:space="preserve">0.2 /yr</w:t>
            </w:r>
          </w:p>
        </w:tc>
        <w:tc>
          <w:p>
            <w:pPr>
              <w:pStyle w:val="Compact"/>
              <w:jc w:val="left"/>
            </w:pPr>
            <w:r>
              <w:t xml:space="preserve">[350 - 450]</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[350 - 450]</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[350 - 450]</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w:r>
              <w:t xml:space="preserve">0.2</w:t>
            </w:r>
          </w:p>
        </w:tc>
        <w:tc>
          <w:p>
            <w:pPr>
              <w:pStyle w:val="Compact"/>
              <w:jc w:val="left"/>
            </w:pPr>
            <w:r>
              <w:t xml:space="preserve">[350 - 450]</w:t>
            </w:r>
          </w:p>
        </w:tc>
      </w:tr>
      <w:tr>
        <w:tc>
          <w:p>
            <w:pPr>
              <w:pStyle w:val="Compact"/>
              <w:jc w:val="left"/>
            </w:pPr>
            <m:oMath>
              <m:r>
                <m:rPr/>
                <m:t>θ</m:t>
              </m:r>
            </m:oMath>
          </w:p>
        </w:tc>
        <w:tc>
          <w:p/>
        </w:tc>
        <w:tc>
          <w:p/>
        </w:tc>
        <w:tc>
          <w:p/>
        </w:tc>
      </w:tr>
    </w:tbl>
    <w:bookmarkStart w:id="26" w:name="results"/>
    <w:p>
      <w:pPr>
        <w:pStyle w:val="Heading3"/>
      </w:pPr>
      <w:r>
        <w:t xml:space="preserve">Results</w:t>
      </w:r>
    </w:p>
    <w:bookmarkEnd w:id="26"/>
    <w:p>
      <w:r>
        <w:rPr>
          <w:b/>
        </w:rPr>
        <w:t xml:space="preserve">Figure 1</w:t>
      </w:r>
      <w:r>
        <w:t xml:space="preserve"> </w:t>
      </w:r>
      <w:r>
        <w:t xml:space="preserve">- Change in new infections.</w:t>
      </w:r>
    </w:p>
    <w:bookmarkStart w:id="27" w:name="discussion"/>
    <w:p>
      <w:pPr>
        <w:pStyle w:val="Heading3"/>
      </w:pPr>
      <w:r>
        <w:t xml:space="preserve">Discussion</w:t>
      </w:r>
    </w:p>
    <w:bookmarkEnd w:id="27"/>
    <w:bookmarkStart w:id="28" w:name="references"/>
    <w:p>
      <w:pPr>
        <w:pStyle w:val="Heading3"/>
      </w:pPr>
      <w:r>
        <w:t xml:space="preserve">References</w:t>
      </w:r>
    </w:p>
    <w:bookmarkEnd w:id="28"/>
    <w:p>
      <w:r>
        <w:t xml:space="preserve">1. Petoumenos K (2013) The australian hiv observational database temporary residents access study (aTRAS): one year follow-up.</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50f0d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8579e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