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December</w:t>
      </w:r>
      <w:r>
        <w:t xml:space="preserve"> </w:t>
      </w:r>
      <w:r>
        <w:t xml:space="preserve">08</w:t>
      </w:r>
      <w:r>
        <w:t xml:space="preserve"> </w:t>
      </w:r>
      <w:r>
        <w:t xml:space="preserve">2014</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 (</w:t>
      </w:r>
      <w:r>
        <w:t xml:space="preserve">[1]</w:t>
      </w:r>
      <w:r>
        <w:t xml:space="preserve">). The size of this population in 2014 is ??. The overall population is split into heterosexual males, females, and males who are gay, bisexual or men who have sex whith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w:t>
      </w:r>
    </w:p>
    <w:p>
      <w:r>
        <w:t xml:space="preserve">The number of medicare ineligibles can change over time with people becoming eligible for medicare provided ART and new temporary residents entering the population. This movement is represented by a constant rate - which is positive for a growing population and negative for a declining population). In ATRAS aproximately 20% of people become medicare eligible and leave the population each year, this would be lower bound on the rate of population change.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Assumptions used in the calculations: * All sexual partners are HIV negative. * HIV transmission only occurs through sexual intercourse. * There is no difference in sexual behaviour between those on and off ART. Hence, the only factor affecting HIV transmission is ART use and viral suppression. * Those with unsuppressed virus have the same transmission risk as those not taking ART. * Females and males have the same number of partners, sexual acts, and condom use on average. * Females and males have the same sexual behaviour as males and females in the general heterosexual population in Australia. * Behavioural and transmission parameters are assumed constant over time.</w:t>
      </w:r>
    </w:p>
    <w:bookmarkStart w:id="25" w:name="parameter-table"/>
    <w:p>
      <w:pPr>
        <w:pStyle w:val="Heading4"/>
      </w:pPr>
      <w:r>
        <w:t xml:space="preserve">Parameter table</w:t>
      </w:r>
    </w:p>
    <w:bookmarkEnd w:id="25"/>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oMath>
          </w:p>
        </w:tc>
        <w:tc>
          <w:p>
            <w:pPr>
              <w:pStyle w:val="Compact"/>
              <w:jc w:val="left"/>
            </w:pPr>
            <w:r>
              <w:t xml:space="preserve">Overall population size in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
                <m:e>
                  <m:r>
                    <m:rPr/>
                    <m:t>c</m:t>
                  </m:r>
                </m:e>
                <m:sub>
                  <m:r>
                    <m:rPr/>
                    <m:t>h</m:t>
                  </m:r>
                </m:sub>
              </m:sSub>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
                <m:e>
                  <m:r>
                    <m:rPr/>
                    <m:t>c</m:t>
                  </m:r>
                </m:e>
                <m:sub>
                  <m:r>
                    <m:rPr/>
                    <m:t>g</m:t>
                  </m:r>
                </m:sub>
              </m:sSub>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[2</w:t>
            </w:r>
            <w:r>
              <w:t xml:space="preserve">10^{-4} - 0.001]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[2</w:t>
            </w:r>
            <w:r>
              <w:t xml:space="preserve">10^{-4} - 0.0015]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bl>
    <w:bookmarkStart w:id="26" w:name="calculations"/>
    <w:p>
      <w:pPr>
        <w:pStyle w:val="Heading4"/>
      </w:pPr>
      <w:r>
        <w:t xml:space="preserve">Calculations</w:t>
      </w:r>
    </w:p>
    <w:bookmarkEnd w:id="26"/>
    <w:bookmarkStart w:id="27" w:name="results"/>
    <w:p>
      <w:pPr>
        <w:pStyle w:val="Heading3"/>
      </w:pPr>
      <w:r>
        <w:t xml:space="preserve">Results</w:t>
      </w:r>
    </w:p>
    <w:bookmarkEnd w:id="27"/>
    <w:p>
      <w:r>
        <w:rPr>
          <w:b/>
        </w:rPr>
        <w:t xml:space="preserve">Figure 1</w:t>
      </w:r>
      <w:r>
        <w:t xml:space="preserve"> </w:t>
      </w:r>
      <w:r>
        <w:t xml:space="preserve">- Change in new infections.</w:t>
      </w:r>
    </w:p>
    <w:bookmarkStart w:id="28" w:name="discussion"/>
    <w:p>
      <w:pPr>
        <w:pStyle w:val="Heading3"/>
      </w:pPr>
      <w:r>
        <w:t xml:space="preserve">Discussion</w:t>
      </w:r>
    </w:p>
    <w:bookmarkEnd w:id="28"/>
    <w:bookmarkStart w:id="29" w:name="references"/>
    <w:p>
      <w:pPr>
        <w:pStyle w:val="Heading3"/>
      </w:pPr>
      <w:r>
        <w:t xml:space="preserve">References</w:t>
      </w:r>
    </w:p>
    <w:bookmarkEnd w:id="29"/>
    <w:p>
      <w:r>
        <w:t xml:space="preserve">1. Petoumenos K (2013) The australian hiv observational database temporary residents access study (aTRAS): one year follow-up.</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3e3d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