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Version</w:t>
      </w:r>
      <w:r>
        <w:t xml:space="preserve"> </w:t>
      </w:r>
      <w:r>
        <w:t xml:space="preserve">-</w:t>
      </w:r>
      <w:r>
        <w:t xml:space="preserve"> </w:t>
      </w:r>
      <w:r>
        <w:t xml:space="preserve">November</w:t>
      </w:r>
      <w:r>
        <w:t xml:space="preserve"> </w:t>
      </w:r>
      <w:r>
        <w:t xml:space="preserve">17</w:t>
      </w:r>
      <w:r>
        <w:t xml:space="preserve"> </w:t>
      </w:r>
      <w:r>
        <w:t xml:space="preserve">2014</w:t>
      </w:r>
      <w:r>
        <w:t xml:space="preserve"> </w:t>
      </w:r>
    </w:p>
    <w:p>
      <w:r>
        <w:t xml:space="preserve">Using a modified version of my previously developed chlamydia vaccine model, Andrew Craig has developed a model for gonococcal vaccines. His investigations of the potential effectiveness of such a vaccine has shown a suprisingly low efficacy is required to eliminate gonorrhea from a population. Initially I thought this was due to the sexual behaviour and partnershhip network in the model. As most individuals form long-term monogmous partnerships they are effectively protected for long time period. However, using a simple SIS model we can show these results are unsuprising. This Rmarkdown produced document describes the theoretical and numerical calculations to demonstrate this.</w:t>
      </w:r>
    </w:p>
    <w:bookmarkStart w:id="21" w:name="theorectical-calculations"/>
    <w:p>
      <w:pPr>
        <w:pStyle w:val="Heading3"/>
      </w:pPr>
      <w:r>
        <w:t xml:space="preserve">Theorectical calculations</w:t>
      </w:r>
    </w:p>
    <w:bookmarkEnd w:id="21"/>
    <w:p>
      <w:r>
        <w:t xml:space="preserve">We use a simple SIS model with 100% effective vaccine and no waning.</w:t>
      </w:r>
    </w:p>
    <w:p>
      <w:r>
        <w:t xml:space="preserve">Let</w:t>
      </w:r>
      <w:r>
        <w:t xml:space="preserve"> </w:t>
      </w:r>
      <m:oMath>
        <m:r>
          <m:rPr/>
          <m:t>I</m:t>
        </m:r>
      </m:oMath>
      <w:r>
        <w:t xml:space="preserve"> </w:t>
      </w:r>
      <w:r>
        <w:t xml:space="preserve">be the proportion of the population infected. Then</w:t>
      </w:r>
      <w:r>
        <w:t xml:space="preserve"> </w:t>
      </w:r>
      <m:oMath>
        <m:r>
          <m:rPr/>
          <m:t>S</m:t>
        </m:r>
        <m:r>
          <m:rPr/>
          <m:t>=</m:t>
        </m:r>
        <m:r>
          <m:rPr/>
          <m:t>1</m:t>
        </m:r>
        <m:r>
          <m:rPr/>
          <m:t>−</m:t>
        </m:r>
        <m:r>
          <m:rPr/>
          <m:t>I</m:t>
        </m:r>
      </m:oMath>
      <w:r>
        <w:t xml:space="preserve">, and the number of people infected is</w:t>
      </w:r>
    </w:p>
    <w:p>
      <m:oMathPara>
        <m:oMathParaPr>
          <m:jc m:val="center"/>
        </m:oMathParaPr>
        <m:oMath>
          <m:f>
            <m:fPr>
              <m:type m:val="bar"/>
            </m:fPr>
            <m:num>
              <m:r>
                <m:rPr/>
                <m:t>d</m:t>
              </m:r>
              <m:r>
                <m:rPr/>
                <m:t>I</m:t>
              </m:r>
            </m:num>
            <m:den>
              <m:r>
                <m:rPr/>
                <m:t>d</m:t>
              </m:r>
              <m:r>
                <m:rPr/>
                <m:t>t</m:t>
              </m:r>
            </m:den>
          </m:f>
          <m:r>
            <m:rPr/>
            <m:t>=</m:t>
          </m:r>
          <m:r>
            <m:rPr/>
            <m:t>β</m:t>
          </m:r>
          <m:r>
            <m:rPr/>
            <m:t>(</m:t>
          </m:r>
          <m:r>
            <m:rPr/>
            <m:t>1</m:t>
          </m:r>
          <m:r>
            <m:rPr/>
            <m:t>−</m:t>
          </m:r>
          <m:r>
            <m:rPr/>
            <m:t>ε</m:t>
          </m:r>
          <m:r>
            <m:rPr/>
            <m:t>)</m:t>
          </m:r>
          <m:r>
            <m:rPr/>
            <m:t>I</m:t>
          </m:r>
          <m:r>
            <m:rPr/>
            <m:t>(</m:t>
          </m:r>
          <m:r>
            <m:rPr/>
            <m:t>1</m:t>
          </m:r>
          <m:r>
            <m:rPr/>
            <m:t>−</m:t>
          </m:r>
          <m:r>
            <m:rPr/>
            <m:t>I</m:t>
          </m:r>
          <m:r>
            <m:rPr/>
            <m:t>)</m:t>
          </m:r>
          <m:r>
            <m:rPr/>
            <m:t>−</m:t>
          </m:r>
          <m:r>
            <m:rPr/>
            <m:t>μ</m:t>
          </m:r>
          <m:r>
            <m:rPr/>
            <m:t>I</m:t>
          </m:r>
        </m:oMath>
      </m:oMathPara>
    </w:p>
    <w:p>
      <w:r>
        <w:t xml:space="preserve">where</w:t>
      </w:r>
      <w:r>
        <w:t xml:space="preserve"> </w:t>
      </w:r>
      <m:oMath>
        <m:r>
          <m:rPr/>
          <m:t>β</m:t>
        </m:r>
      </m:oMath>
      <w:r>
        <w:t xml:space="preserve"> </w:t>
      </w:r>
      <w:r>
        <w:t xml:space="preserve">is the infectivity,</w:t>
      </w:r>
      <w:r>
        <w:t xml:space="preserve"> </w:t>
      </w:r>
      <m:oMath>
        <m:r>
          <m:rPr/>
          <m:t>ε</m:t>
        </m:r>
      </m:oMath>
      <w:r>
        <w:t xml:space="preserve"> </w:t>
      </w:r>
      <w:r>
        <w:t xml:space="preserve">is vaccine efficacy (with</w:t>
      </w:r>
      <w:r>
        <w:t xml:space="preserve"> </w:t>
      </w:r>
      <m:oMath>
        <m:r>
          <m:rPr/>
          <m:t>ε</m:t>
        </m:r>
      </m:oMath>
      <w:r>
        <w:t xml:space="preserve"> </w:t>
      </w:r>
      <w:r>
        <w:t xml:space="preserve">if there is no vaccine) and</w:t>
      </w:r>
      <w:r>
        <w:t xml:space="preserve"> </w:t>
      </w:r>
      <m:oMath>
        <m:r>
          <m:rPr/>
          <m:t>μ</m:t>
        </m:r>
      </m:oMath>
      <w:r>
        <w:t xml:space="preserve"> </w:t>
      </w:r>
      <w:r>
        <w:t xml:space="preserve">is the rate of recovery. Letting</w:t>
      </w:r>
      <w:r>
        <w:t xml:space="preserve"> </w:t>
      </w:r>
      <m:oMath>
        <m:bar>
          <m:barPr>
            <m:pos m:val="top"/>
          </m:barPr>
          <m:e>
            <m:r>
              <m:rPr/>
              <m:t>I</m:t>
            </m:r>
          </m:e>
        </m:bar>
      </m:oMath>
      <w:r>
        <w:t xml:space="preserve"> </w:t>
      </w:r>
      <w:r>
        <w:t xml:space="preserve">be the value of</w:t>
      </w:r>
      <w:r>
        <w:t xml:space="preserve"> </w:t>
      </w:r>
      <m:oMath>
        <m:r>
          <m:rPr/>
          <m:t>I</m:t>
        </m:r>
      </m:oMath>
      <w:r>
        <w:t xml:space="preserve"> </w:t>
      </w:r>
      <w:r>
        <w:t xml:space="preserve">where</w:t>
      </w:r>
      <w:r>
        <w:t xml:space="preserve"> </w:t>
      </w:r>
      <m:oMath>
        <m:f>
          <m:fPr>
            <m:type m:val="bar"/>
          </m:fPr>
          <m:num>
            <m:r>
              <m:rPr/>
              <m:t>d</m:t>
            </m:r>
            <m:r>
              <m:rPr/>
              <m:t>I</m:t>
            </m:r>
          </m:num>
          <m:den>
            <m:r>
              <m:rPr/>
              <m:t>d</m:t>
            </m:r>
            <m:r>
              <m:rPr/>
              <m:t>t</m:t>
            </m:r>
          </m:den>
        </m:f>
        <m:r>
          <m:rPr/>
          <m:t>=</m:t>
        </m:r>
        <m:r>
          <m:rPr/>
          <m:t>0</m:t>
        </m:r>
      </m:oMath>
      <w:r>
        <w:t xml:space="preserve">, we have</w:t>
      </w:r>
    </w:p>
    <w:p>
      <m:oMathPara>
        <m:oMathParaPr>
          <m:jc m:val="center"/>
        </m:oMathParaPr>
        <m:oMath>
          <m:r>
            <m:rPr/>
            <m:t>β</m:t>
          </m:r>
          <m:r>
            <m:rPr/>
            <m:t>(</m:t>
          </m:r>
          <m:r>
            <m:rPr/>
            <m:t>1</m:t>
          </m:r>
          <m:r>
            <m:rPr/>
            <m:t>−</m:t>
          </m:r>
          <m:r>
            <m:rPr/>
            <m:t>ε</m:t>
          </m:r>
          <m:r>
            <m:rPr/>
            <m:t>)</m:t>
          </m:r>
          <m:bar>
            <m:barPr>
              <m:pos m:val="top"/>
            </m:barPr>
            <m:e>
              <m:r>
                <m:rPr/>
                <m:t>I</m:t>
              </m:r>
            </m:e>
          </m:bar>
          <m:r>
            <m:rPr/>
            <m:t>(</m:t>
          </m:r>
          <m:r>
            <m:rPr/>
            <m:t>1</m:t>
          </m:r>
          <m:r>
            <m:rPr/>
            <m:t>−</m:t>
          </m:r>
          <m:bar>
            <m:barPr>
              <m:pos m:val="top"/>
            </m:barPr>
            <m:e>
              <m:r>
                <m:rPr/>
                <m:t>I</m:t>
              </m:r>
            </m:e>
          </m:bar>
          <m:r>
            <m:rPr/>
            <m:t>)</m:t>
          </m:r>
          <m:r>
            <m:rPr/>
            <m:t>=</m:t>
          </m:r>
          <m:r>
            <m:rPr/>
            <m:t>μ</m:t>
          </m:r>
          <m:bar>
            <m:barPr>
              <m:pos m:val="top"/>
            </m:barPr>
            <m:e>
              <m:r>
                <m:rPr/>
                <m:t>I</m:t>
              </m:r>
            </m:e>
          </m:bar>
        </m:oMath>
      </m:oMathPara>
    </w:p>
    <w:p>
      <w:r>
        <w:t xml:space="preserve">and either</w:t>
      </w:r>
      <w:r>
        <w:t xml:space="preserve"> </w:t>
      </w:r>
      <m:oMath>
        <m:bar>
          <m:barPr>
            <m:pos m:val="top"/>
          </m:barPr>
          <m:e>
            <m:r>
              <m:rPr/>
              <m:t>I</m:t>
            </m:r>
          </m:e>
        </m:bar>
        <m:r>
          <m:rPr/>
          <m:t>=</m:t>
        </m:r>
        <m:r>
          <m:rPr/>
          <m:t>0</m:t>
        </m:r>
      </m:oMath>
      <w:r>
        <w:t xml:space="preserve"> </w:t>
      </w:r>
      <w:r>
        <w:t xml:space="preserve">(the disease-free equilibrium) or</w:t>
      </w:r>
    </w:p>
    <w:p>
      <m:oMathPara>
        <m:oMathParaPr>
          <m:jc m:val="center"/>
        </m:oMathParaPr>
        <m:oMath>
          <m:r>
            <m:rPr/>
            <m:t>β</m:t>
          </m:r>
          <m:r>
            <m:rPr/>
            <m:t>(</m:t>
          </m:r>
          <m:r>
            <m:rPr/>
            <m:t>1</m:t>
          </m:r>
          <m:r>
            <m:rPr/>
            <m:t>−</m:t>
          </m:r>
          <m:r>
            <m:rPr/>
            <m:t>ε</m:t>
          </m:r>
          <m:r>
            <m:rPr/>
            <m:t>)</m:t>
          </m:r>
          <m:r>
            <m:rPr/>
            <m:t>(</m:t>
          </m:r>
          <m:r>
            <m:rPr/>
            <m:t>1</m:t>
          </m:r>
          <m:r>
            <m:rPr/>
            <m:t>−</m:t>
          </m:r>
          <m:bar>
            <m:barPr>
              <m:pos m:val="top"/>
            </m:barPr>
            <m:e>
              <m:r>
                <m:rPr/>
                <m:t>I</m:t>
              </m:r>
            </m:e>
          </m:bar>
          <m:r>
            <m:rPr/>
            <m:t>)</m:t>
          </m:r>
          <m:r>
            <m:rPr/>
            <m:t>=</m:t>
          </m:r>
          <m:r>
            <m:rPr/>
            <m:t>μ</m:t>
          </m:r>
        </m:oMath>
      </m:oMathPara>
    </w:p>
    <w:p>
      <m:oMathPara>
        <m:oMathParaPr>
          <m:jc m:val="center"/>
        </m:oMathParaPr>
        <m:oMath>
          <m:r>
            <m:rPr/>
            <m:t>↔</m:t>
          </m:r>
          <m:bar>
            <m:barPr>
              <m:pos m:val="top"/>
            </m:barPr>
            <m:e>
              <m:r>
                <m:rPr/>
                <m:t>I</m:t>
              </m:r>
            </m:e>
          </m:bar>
          <m:r>
            <m:rPr/>
            <m:t>=</m:t>
          </m:r>
          <m:r>
            <m:rPr/>
            <m:t>1</m:t>
          </m:r>
          <m:r>
            <m:rPr/>
            <m:t>−</m:t>
          </m:r>
          <m:f>
            <m:fPr>
              <m:type m:val="bar"/>
            </m:fPr>
            <m:num>
              <m:r>
                <m:rPr/>
                <m:t>μ</m:t>
              </m:r>
            </m:num>
            <m:den>
              <m:r>
                <m:rPr/>
                <m:t>β</m:t>
              </m:r>
            </m:den>
          </m:f>
          <m:r>
            <m:rPr/>
            <m:t>⋅</m:t>
          </m:r>
          <m:f>
            <m:fPr>
              <m:type m:val="bar"/>
            </m:fPr>
            <m:num>
              <m:r>
                <m:rPr/>
                <m:t>1</m:t>
              </m:r>
            </m:num>
            <m:den>
              <m:r>
                <m:rPr/>
                <m:t>1</m:t>
              </m:r>
              <m:r>
                <m:rPr/>
                <m:t>−</m:t>
              </m:r>
              <m:r>
                <m:rPr/>
                <m:t>ε</m:t>
              </m:r>
            </m:den>
          </m:f>
          <m:r>
            <m:rPr/>
            <m:t>.</m:t>
          </m:r>
        </m:oMath>
      </m:oMathPara>
    </w:p>
    <w:p>
      <w:r>
        <w:t xml:space="preserve">Setting</w:t>
      </w:r>
      <w:r>
        <w:t xml:space="preserve"> </w:t>
      </w:r>
      <m:oMath>
        <m:r>
          <m:rPr/>
          <m:t>ε</m:t>
        </m:r>
        <m:r>
          <m:rPr/>
          <m:t>=</m:t>
        </m:r>
        <m:r>
          <m:rPr/>
          <m:t>0</m:t>
        </m:r>
      </m:oMath>
      <w:r>
        <w:t xml:space="preserve"> </w:t>
      </w:r>
      <w:r>
        <w:t xml:space="preserve">describes the no-vaccine scenario. Calling the no-vaccine equilibrium prevalence</w:t>
      </w:r>
      <w:r>
        <w:t xml:space="preserve"> </w:t>
      </w:r>
      <m:oMath>
        <m:bar>
          <m:barPr>
            <m:pos m:val="top"/>
          </m:barPr>
          <m:e>
            <m:sSub>
              <m:e>
                <m:r>
                  <m:rPr/>
                  <m:t>I</m:t>
                </m:r>
              </m:e>
              <m:sub>
                <m:r>
                  <m:rPr/>
                  <m:t>0</m:t>
                </m:r>
              </m:sub>
            </m:sSub>
          </m:e>
        </m:bar>
      </m:oMath>
      <w:r>
        <w:t xml:space="preserve">, we have</w:t>
      </w:r>
    </w:p>
    <w:p>
      <m:oMathPara>
        <m:oMathParaPr>
          <m:jc m:val="center"/>
        </m:oMathParaPr>
        <m:oMath>
          <m:f>
            <m:fPr>
              <m:type m:val="bar"/>
            </m:fPr>
            <m:num>
              <m:r>
                <m:rPr/>
                <m:t>μ</m:t>
              </m:r>
            </m:num>
            <m:den>
              <m:r>
                <m:rPr/>
                <m:t>β</m:t>
              </m:r>
            </m:den>
          </m:f>
          <m:r>
            <m:rPr/>
            <m:t>=</m:t>
          </m:r>
          <m:r>
            <m:rPr/>
            <m:t>1</m:t>
          </m:r>
          <m:r>
            <m:rPr/>
            <m:t>−</m:t>
          </m:r>
          <m:bar>
            <m:barPr>
              <m:pos m:val="top"/>
            </m:barPr>
            <m:e>
              <m:sSub>
                <m:e>
                  <m:r>
                    <m:rPr/>
                    <m:t>I</m:t>
                  </m:r>
                </m:e>
                <m:sub>
                  <m:r>
                    <m:rPr/>
                    <m:t>0</m:t>
                  </m:r>
                </m:sub>
              </m:sSub>
            </m:e>
          </m:bar>
        </m:oMath>
      </m:oMathPara>
    </w:p>
    <w:p>
      <w:r>
        <w:t xml:space="preserve">. Susbstituting this into the equation for</w:t>
      </w:r>
      <w:r>
        <w:t xml:space="preserve"> </w:t>
      </w:r>
      <m:oMath>
        <m:bar>
          <m:barPr>
            <m:pos m:val="top"/>
          </m:barPr>
          <m:e>
            <m:r>
              <m:rPr/>
              <m:t>I</m:t>
            </m:r>
          </m:e>
        </m:bar>
      </m:oMath>
      <w:r>
        <w:t xml:space="preserve"> </w:t>
      </w:r>
      <w:r>
        <w:t xml:space="preserve">gives</w:t>
      </w:r>
    </w:p>
    <w:p>
      <m:oMathPara>
        <m:oMathParaPr>
          <m:jc m:val="center"/>
        </m:oMathParaPr>
        <m:oMath>
          <m:bar>
            <m:barPr>
              <m:pos m:val="top"/>
            </m:barPr>
            <m:e>
              <m:r>
                <m:rPr/>
                <m:t>I</m:t>
              </m:r>
            </m:e>
          </m:bar>
          <m:r>
            <m:rPr/>
            <m:t>=</m:t>
          </m:r>
          <m:r>
            <m:rPr/>
            <m:t>1</m:t>
          </m:r>
          <m:r>
            <m:rPr/>
            <m:t>−</m:t>
          </m:r>
          <m:f>
            <m:fPr>
              <m:type m:val="bar"/>
            </m:fPr>
            <m:num>
              <m:r>
                <m:rPr/>
                <m:t>1</m:t>
              </m:r>
              <m:r>
                <m:rPr/>
                <m:t>−</m:t>
              </m:r>
              <m:bar>
                <m:barPr>
                  <m:pos m:val="top"/>
                </m:barPr>
                <m:e>
                  <m:sSub>
                    <m:e>
                      <m:r>
                        <m:rPr/>
                        <m:t>I</m:t>
                      </m:r>
                    </m:e>
                    <m:sub>
                      <m:r>
                        <m:rPr/>
                        <m:t>0</m:t>
                      </m:r>
                    </m:sub>
                  </m:sSub>
                </m:e>
              </m:bar>
            </m:num>
            <m:den>
              <m:r>
                <m:rPr/>
                <m:t>1</m:t>
              </m:r>
              <m:r>
                <m:rPr/>
                <m:t>−</m:t>
              </m:r>
              <m:r>
                <m:rPr/>
                <m:t>ε</m:t>
              </m:r>
            </m:den>
          </m:f>
          <m:r>
            <m:rPr/>
            <m:t>=</m:t>
          </m:r>
          <m:f>
            <m:fPr>
              <m:type m:val="bar"/>
            </m:fPr>
            <m:num>
              <m:bar>
                <m:barPr>
                  <m:pos m:val="top"/>
                </m:barPr>
                <m:e>
                  <m:sSub>
                    <m:e>
                      <m:r>
                        <m:rPr/>
                        <m:t>I</m:t>
                      </m:r>
                    </m:e>
                    <m:sub>
                      <m:r>
                        <m:rPr/>
                        <m:t>0</m:t>
                      </m:r>
                    </m:sub>
                  </m:sSub>
                </m:e>
              </m:bar>
              <m:r>
                <m:rPr/>
                <m:t>−</m:t>
              </m:r>
              <m:r>
                <m:rPr/>
                <m:t>ε</m:t>
              </m:r>
            </m:num>
            <m:den>
              <m:r>
                <m:rPr/>
                <m:t>1</m:t>
              </m:r>
              <m:r>
                <m:rPr/>
                <m:t>−</m:t>
              </m:r>
              <m:r>
                <m:rPr/>
                <m:t>ε</m:t>
              </m:r>
            </m:den>
          </m:f>
          <m:r>
            <m:rPr/>
            <m:t>,</m:t>
          </m:r>
        </m:oMath>
      </m:oMathPara>
    </w:p>
    <w:p>
      <w:r>
        <w:t xml:space="preserve">which is equal to or less than zero when</w:t>
      </w:r>
      <w:r>
        <w:t xml:space="preserve"> </w:t>
      </w:r>
      <m:oMath>
        <m:r>
          <m:rPr/>
          <m:t>ε</m:t>
        </m:r>
        <m:r>
          <m:rPr/>
          <m:t>≥</m:t>
        </m:r>
        <m:bar>
          <m:barPr>
            <m:pos m:val="top"/>
          </m:barPr>
          <m:e>
            <m:sSub>
              <m:e>
                <m:r>
                  <m:rPr/>
                  <m:t>I</m:t>
                </m:r>
              </m:e>
              <m:sub>
                <m:r>
                  <m:rPr/>
                  <m:t>0</m:t>
                </m:r>
              </m:sub>
            </m:sSub>
          </m:e>
        </m:bar>
      </m:oMath>
      <w:r>
        <w:t xml:space="preserve">. This means the vaccine will remove the infection from the population if its efficacy is equal to or greater than the no-vaccine prevalence.</w:t>
      </w:r>
    </w:p>
    <w:bookmarkStart w:id="22" w:name="numerical-demonstration"/>
    <w:p>
      <w:pPr>
        <w:pStyle w:val="Heading3"/>
      </w:pPr>
      <w:r>
        <w:t xml:space="preserve">Numerical demonstration</w:t>
      </w:r>
    </w:p>
    <w:bookmarkEnd w:id="22"/>
    <w:p>
      <w:r>
        <w:t xml:space="preserve">The theoretical calculations show that a partially efficacious vaccine can elimitate an infection from a population if the efficacy is greater than the endemic prevalence. The time taken for the infection extinction to occur is not shown. To investigate the change in prevalence over time we simulated the simple SIS model described above numerically.The model requires three input parameters to run. Table 1 shows the values we use for the simulations.</w:t>
      </w:r>
    </w:p>
    <w:p>
      <w:r>
        <w:rPr>
          <w:b/>
        </w:rPr>
        <w:t xml:space="preserve">Table 1</w:t>
      </w:r>
      <w:r>
        <w:t xml:space="preserve"> </w:t>
      </w:r>
      <w:r>
        <w:t xml:space="preserve">- Model input parameters</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m:oMath>
              <m:r>
                <m:rPr/>
                <m:t>β</m:t>
              </m:r>
            </m:oMath>
          </w:p>
        </w:tc>
        <w:tc>
          <w:p>
            <w:pPr>
              <w:pStyle w:val="Compact"/>
              <w:jc w:val="left"/>
            </w:pPr>
            <w:r>
              <w:t xml:space="preserve">0.029/yr</w:t>
            </w:r>
          </w:p>
        </w:tc>
      </w:tr>
      <w:tr>
        <w:tc>
          <w:p>
            <w:pPr>
              <w:pStyle w:val="Compact"/>
              <w:jc w:val="left"/>
            </w:pPr>
            <m:oMath>
              <m:r>
                <m:rPr/>
                <m:t>μ</m:t>
              </m:r>
            </m:oMath>
          </w:p>
        </w:tc>
        <w:tc>
          <w:p>
            <w:pPr>
              <w:pStyle w:val="Compact"/>
              <w:jc w:val="left"/>
            </w:pPr>
            <w:r>
              <w:t xml:space="preserve">0.029/yr</w:t>
            </w:r>
          </w:p>
        </w:tc>
      </w:tr>
      <w:tr>
        <w:tc>
          <w:p>
            <w:pPr>
              <w:pStyle w:val="Compact"/>
              <w:jc w:val="left"/>
            </w:pPr>
            <m:oMath>
              <m:r>
                <m:rPr/>
                <m:t>ε</m:t>
              </m:r>
            </m:oMath>
          </w:p>
        </w:tc>
        <w:tc>
          <w:p>
            <w:pPr>
              <w:pStyle w:val="Compact"/>
              <w:jc w:val="left"/>
            </w:pPr>
            <w:r>
              <w:t xml:space="preserve">0-20%</w:t>
            </w:r>
          </w:p>
        </w:tc>
      </w:tr>
    </w:tbl>
    <w:p>
      <w:r>
        <w:t xml:space="preserve">The parameter values in Table 1 are set to give a prevalence of 1.5% in the population of adults who are sexually active for 35 years (equivalent to 15-50 year olds). Figure 1 shows how introducing a partially efficacous vaccine (10 years into the simulation) effects the prevalence in the population over time. The R code for this figure is available in the associated Rmarkdown file.</w:t>
      </w:r>
    </w:p>
    <w:p>
      <w:r>
        <w:rPr>
          <w:b/>
        </w:rPr>
        <w:t xml:space="preserve">Figure 1</w:t>
      </w:r>
      <w:r>
        <w:t xml:space="preserve"> </w:t>
      </w:r>
      <w:r>
        <w:t xml:space="preserve">- Change in prevalence for different vaccine efficacies</w:t>
      </w:r>
    </w:p>
    <w:p>
      <w:r>
        <w:drawing>
          <wp:inline>
            <wp:extent cx="4610100" cy="3695700"/>
            <wp:effectExtent b="0" l="0" r="0" t="0"/>
            <wp:docPr descr="" id="1" name="Picture"/>
            <a:graphic>
              <a:graphicData uri="http://schemas.openxmlformats.org/drawingml/2006/picture">
                <pic:pic>
                  <pic:nvPicPr>
                    <pic:cNvPr descr="./Medicare_Ineligibles_files/figure-docx/unnamed-chunk-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f410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