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December</w:t>
      </w:r>
      <w:r>
        <w:t xml:space="preserve"> </w:t>
      </w:r>
      <w:r>
        <w:t xml:space="preserve">09</w:t>
      </w:r>
      <w:r>
        <w:t xml:space="preserve"> </w:t>
      </w:r>
      <w:r>
        <w:t xml:space="preserve">2014</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3.1.0).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malesand females, and males who are gay, bisexual or men who have sex whith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r>
            <m:rPr/>
            <m:t>(</m:t>
          </m:r>
          <m:r>
            <m:rPr/>
            <m:t>1</m:t>
          </m:r>
          <m:r>
            <m:rPr/>
            <m:t>+</m:t>
          </m:r>
          <m:r>
            <m:rPr/>
            <m:t>π</m:t>
          </m:r>
          <m:sSup>
            <m:e>
              <m:r>
                <m:rPr/>
                <m:t>)</m:t>
              </m:r>
            </m:e>
            <m:sup>
              <m:r>
                <m:rPr/>
                <m:t>n</m:t>
              </m:r>
            </m:sup>
          </m:sSup>
          <m:r>
            <m:rPr/>
            <m:t>,</m:t>
          </m:r>
        </m:oMath>
      </m:oMathPara>
    </w:p>
    <w:p>
      <w:r>
        <w:t xml:space="preserve">where</w:t>
      </w:r>
      <w:r>
        <w:t xml:space="preserve"> </w:t>
      </w:r>
      <m:oMath>
        <m:r>
          <m:rPr/>
          <m:t>n</m:t>
        </m:r>
      </m:oMath>
      <w:r>
        <w:t xml:space="preserve"> </w:t>
      </w:r>
      <w:r>
        <w:t xml:space="preserve">is the number of years of calculation.</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tranmsmission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 × 10</w:t>
            </w:r>
            <w:r>
              <w:t xml:space="preserve">-4</w:t>
            </w:r>
          </w:p>
        </w:tc>
        <w:tc>
          <w:p>
            <w:pPr>
              <w:pStyle w:val="Compact"/>
              <w:jc w:val="left"/>
            </w:pPr>
            <w:r>
              <w:t xml:space="preserve">[2 × 10</w:t>
            </w:r>
            <w:r>
              <w:t xml:space="preserve">-4</w:t>
            </w:r>
            <w:r>
              <w:t xml:space="preserve"> </w:t>
            </w:r>
            <w:r>
              <w:t xml:space="preserve">- 0.001]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 × 10</w:t>
            </w:r>
            <w:r>
              <w:t xml:space="preserve">-4</w:t>
            </w:r>
          </w:p>
        </w:tc>
        <w:tc>
          <w:p>
            <w:pPr>
              <w:pStyle w:val="Compact"/>
              <w:jc w:val="left"/>
            </w:pPr>
            <w:r>
              <w:t xml:space="preserve">[2 × 10</w:t>
            </w:r>
            <w:r>
              <w:t xml:space="preserve">-4</w:t>
            </w:r>
            <w:r>
              <w:t xml:space="preserve"> </w:t>
            </w:r>
            <w:r>
              <w:t xml:space="preserve">- 0.0015]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r>
    </w:tbl>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β</m:t>
              </m:r>
            </m:e>
            <m:sub>
              <m:r>
                <m:rPr/>
                <m:t>f</m:t>
              </m:r>
            </m:sub>
          </m:sSub>
          <m:r>
            <m:rPr/>
            <m:t>+</m:t>
          </m:r>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bookmarkStart w:id="29" w:name="references"/>
    <w:p>
      <w:pPr>
        <w:pStyle w:val="Heading3"/>
      </w:pPr>
      <w:r>
        <w:t xml:space="preserve">References</w:t>
      </w:r>
    </w:p>
    <w:bookmarkEnd w:id="29"/>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8e9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03ccb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