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December</w:t>
      </w:r>
      <w:r>
        <w:t xml:space="preserve"> </w:t>
      </w:r>
      <w:r>
        <w:t xml:space="preserve">09</w:t>
      </w:r>
      <w:r>
        <w:t xml:space="preserve"> </w:t>
      </w:r>
      <w:r>
        <w:t xml:space="preserve">2015</w:t>
      </w:r>
      <w:r>
        <w:t xml:space="preserve"> </w:t>
      </w:r>
    </w:p>
    <w:p>
      <w:r>
        <w:t xml:space="preserve">This document summarizes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Rmarkdown file, which also contains the R code to produce all the results when the markdown is run. We have suppressed code blocks in the output document.</w:t>
      </w:r>
      <w:r>
        <w:t xml:space="preserve"> </w:t>
      </w:r>
    </w:p>
    <w:bookmarkStart w:id="21" w:name="methodology"/>
    <w:p>
      <w:pPr>
        <w:pStyle w:val="Heading3"/>
      </w:pPr>
      <w:r>
        <w:t xml:space="preserve">Methodology</w:t>
      </w:r>
    </w:p>
    <w:bookmarkEnd w:id="21"/>
    <w:p>
      <w:r>
        <w:t xml:space="preserve">This section summarizes the methodology used for the calculations. A simple mathematical model is used to calculate the change in population size over time and the number of new infections in partners of Medicare ineligible people. Descriptions of model details, assumptions and input parameters follow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constant. We used this compartmentalization of the population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We represent this movement using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We used the most recent data value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behavior for example). We also do not consider onward transmission from newly infected partners. As the sexual behavior for the ART and non-ART population is the same, we use a simple risk equation approach with the overall annual risk of transmission calculated from national data rather than incorporating complex sexual behavior.</w:t>
      </w:r>
    </w:p>
    <w:p>
      <w:r>
        <w:t xml:space="preserve">Key assumptions:</w:t>
      </w:r>
    </w:p>
    <w:p>
      <w:pPr>
        <w:pStyle w:val="Compact"/>
        <w:numPr>
          <w:numId w:val="2"/>
          <w:ilvl w:val="0"/>
        </w:numPr>
      </w:pPr>
      <w:r>
        <w:t xml:space="preserve">HIV transmission from Medicare ineligibles not on ART is the same as for the Australian population of PLHIV not on ART.</w:t>
      </w:r>
    </w:p>
    <w:p>
      <w:pPr>
        <w:pStyle w:val="Compact"/>
        <w:numPr>
          <w:numId w:val="2"/>
          <w:ilvl w:val="0"/>
        </w:numPr>
      </w:pPr>
      <w:r>
        <w:t xml:space="preserve">We assume partners of HIV positive people who are ineligible for Medicare are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Endnotes provide justifications for these parameter ranges.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enrollment,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parameters</w:t>
            </w:r>
          </w:p>
        </w:tc>
        <w:tc>
          <w:p/>
        </w:tc>
        <w:tc>
          <w:p/>
        </w:tc>
      </w:tr>
      <w:tr>
        <w:tc>
          <w:p>
            <w:pPr>
              <w:pStyle w:val="Compact"/>
              <w:jc w:val="left"/>
            </w:pPr>
            <m:oMath>
              <m:sSub>
                <m:e>
                  <m:r>
                    <m:rPr/>
                    <m:t>β</m:t>
                  </m:r>
                </m:e>
                <m:sub>
                  <m:r>
                    <m:rPr/>
                    <m:t>n</m:t>
                  </m:r>
                </m:sub>
              </m:sSub>
            </m:oMath>
          </w:p>
        </w:tc>
        <w:tc>
          <w:p>
            <w:pPr>
              <w:pStyle w:val="Compact"/>
              <w:jc w:val="left"/>
            </w:pPr>
            <w:r>
              <w:t xml:space="preserve">Annual probability an untreated non-MSM transmits HIV to another person</w:t>
            </w:r>
          </w:p>
        </w:tc>
        <w:tc>
          <w:p>
            <w:pPr>
              <w:pStyle w:val="Compact"/>
              <w:jc w:val="left"/>
            </w:pPr>
            <w:r>
              <w:t xml:space="preserve">[0.0485 - 0.0808]</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Annual probability an untreated MSM transmits HIV to another person</w:t>
            </w:r>
          </w:p>
        </w:tc>
        <w:tc>
          <w:p>
            <w:pPr>
              <w:pStyle w:val="Compact"/>
              <w:jc w:val="left"/>
            </w:pPr>
            <w:r>
              <w:t xml:space="preserve">[0.0771 - 0.1285]</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Treatment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Average annual undiscounted cost of providing ART to Medicare ineligibles</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undiscounted lifetime cost of providing ART post infection</w:t>
            </w:r>
          </w:p>
        </w:tc>
        <w:tc>
          <w:p>
            <w:pPr>
              <w:pStyle w:val="Compact"/>
              <w:jc w:val="left"/>
            </w:pPr>
            <w:r>
              <w:t xml:space="preserve">[$641,800 - $1,069,700]</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Discounting rate</w:t>
            </w:r>
          </w:p>
        </w:tc>
        <w:tc>
          <w:p>
            <w:pPr>
              <w:pStyle w:val="Compact"/>
              <w:jc w:val="left"/>
            </w:pPr>
            <w:r>
              <w:t xml:space="preserve">5%</w:t>
            </w:r>
          </w:p>
        </w:tc>
        <w:tc>
          <w:p>
            <w:pPr>
              <w:pStyle w:val="Compact"/>
              <w:jc w:val="left"/>
            </w:pPr>
            <w:r>
              <w:t xml:space="preserve">7</w:t>
            </w:r>
          </w:p>
        </w:tc>
      </w:tr>
      <w:tr>
        <w:tc>
          <w:p>
            <w:pPr>
              <w:pStyle w:val="Compact"/>
              <w:jc w:val="left"/>
            </w:pPr>
            <m:oMath>
              <m:sSub>
                <m:e>
                  <m:r>
                    <m:rPr/>
                    <m:t>t</m:t>
                  </m:r>
                </m:e>
                <m:sub>
                  <m:r>
                    <m:rPr/>
                    <m:t>A</m:t>
                  </m:r>
                  <m:r>
                    <m:rPr/>
                    <m:t>R</m:t>
                  </m:r>
                  <m:r>
                    <m:rPr/>
                    <m:t>T</m:t>
                  </m:r>
                </m:sub>
              </m:sSub>
            </m:oMath>
          </w:p>
        </w:tc>
        <w:tc>
          <w:p>
            <w:pPr>
              <w:pStyle w:val="Compact"/>
              <w:jc w:val="left"/>
            </w:pPr>
            <w:r>
              <w:t xml:space="preserve">Average time between infection and initiating ART</w:t>
            </w:r>
          </w:p>
        </w:tc>
        <w:tc>
          <w:p>
            <w:pPr>
              <w:pStyle w:val="Compact"/>
              <w:jc w:val="left"/>
            </w:pPr>
            <w:r>
              <w:t xml:space="preserve">[4 - 5] years</w:t>
            </w:r>
          </w:p>
        </w:tc>
        <w:tc>
          <w:p>
            <w:pPr>
              <w:pStyle w:val="Compact"/>
              <w:jc w:val="left"/>
            </w:pPr>
            <w:r>
              <w:t xml:space="preserve">7</w:t>
            </w:r>
          </w:p>
        </w:tc>
      </w:tr>
    </w:tbl>
    <w:p>
      <w:pPr>
        <w:numPr>
          <w:numId w:val="3"/>
          <w:ilvl w:val="0"/>
        </w:numPr>
      </w:pPr>
      <w:r>
        <w:t xml:space="preserve">The 2013 ATRAS report</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enrollment, 89 (50%) of the males attributed their HIV infection to MSM exposure</w:t>
      </w:r>
      <w:r>
        <w:t xml:space="preserve"> </w:t>
      </w:r>
      <w:r>
        <w:t xml:space="preserve">[1]</w:t>
      </w:r>
      <w:r>
        <w:t xml:space="preserve">. Assuming this reflects the demographic distribution over time, we assume 40-60% of the population is MSM with the remainder non-MSM.</w:t>
      </w:r>
    </w:p>
    <w:p>
      <w:pPr>
        <w:numPr>
          <w:numId w:val="3"/>
          <w:ilvl w:val="0"/>
        </w:numPr>
      </w:pPr>
      <w:r>
        <w:t xml:space="preserve">At enrollment, 62.8% of ATRAS patients were already receiving ART with 71.8% having undetectable viral load</w:t>
      </w:r>
      <w:r>
        <w:t xml:space="preserve"> </w:t>
      </w:r>
      <w:r>
        <w:t xml:space="preserve">[1]</w:t>
      </w:r>
      <w:r>
        <w:t xml:space="preserve">. After enrollment, all patients were put onto ART resulting in 87% having undetectable viral load at 12 months and 96% having undetectable viral load at 24 months</w:t>
      </w:r>
      <w:r>
        <w:t xml:space="preserve"> </w:t>
      </w:r>
      <w:r>
        <w:t xml:space="preserve">[1]</w:t>
      </w:r>
      <w:r>
        <w:t xml:space="preserve">. Based on the ATRAS data we assume the percentage of Medicare ineligibles on ART increases from 70% to 95% with a range of</w:t>
      </w:r>
      <w:r>
        <w:t xml:space="preserve"> </w:t>
      </w:r>
      <m:oMath>
        <m:r>
          <m:rPr/>
          <m:t>±</m:t>
        </m:r>
      </m:oMath>
      <w:r>
        <w:t xml:space="preserve"> </w:t>
      </w:r>
      <w:r>
        <w:t xml:space="preserve">5% with the proportion with undetectable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parameters have the same meaning as in Table 1 we can estimate the value of</w:t>
      </w:r>
      <w:r>
        <w:t xml:space="preserve"> </w:t>
      </w:r>
      <m:oMath>
        <m:r>
          <m:rPr/>
          <m:t>β</m:t>
        </m:r>
      </m:oMath>
      <w:r>
        <w:t xml:space="preserve"> </w:t>
      </w:r>
      <w:r>
        <w:t xml:space="preserve">for MSM and non-MSM. In 2013, there were an estimated 26,640 PLHIV in Australia and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[4]</w:t>
      </w:r>
      <w:r>
        <w:t xml:space="preserve"> </w:t>
      </w:r>
      <w:r>
        <w:t xml:space="preserve">and 55% of non-MSM living with HIV are taking ART</w:t>
      </w:r>
      <w:r>
        <w:t xml:space="preserve"> </w:t>
      </w:r>
      <w:r>
        <w:t xml:space="preserve">[4]</w:t>
      </w:r>
      <w:r>
        <w:t xml:space="preserve">, respectively. In both MSM and non-MSM taking ART, around 90% have an undetectable viral load</w:t>
      </w:r>
      <w:r>
        <w:t xml:space="preserve"> </w:t>
      </w:r>
      <w:r>
        <w:t xml:space="preserve">[1,4]</w:t>
      </w:r>
      <w:r>
        <w:t xml:space="preserve">. Putting these values into the equation above and assuming</w:t>
      </w:r>
      <w:r>
        <w:t xml:space="preserve"> </w:t>
      </w:r>
      <m:oMath>
        <m:r>
          <m:rPr/>
          <m:t>±</m:t>
        </m:r>
      </m:oMath>
      <w:r>
        <w:t xml:space="preserve"> </w:t>
      </w:r>
      <w:r>
        <w:t xml:space="preserve">25% uncertainty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[5]</w:t>
      </w:r>
      <w:r>
        <w:t xml:space="preserve">.</w:t>
      </w:r>
    </w:p>
    <w:p>
      <w:pPr>
        <w:numPr>
          <w:numId w:val="3"/>
          <w:ilvl w:val="0"/>
        </w:numPr>
      </w:pPr>
      <w:r>
        <w:t xml:space="preserve">At enrollment, 83% of the ATRAS cohort on ART are taking Tenofovir/Emtrcitabine (Truvada) as the 'backbone' of their regime. This means the vast majority of those on treatment are taking first-line drugs. For this analysis, we assume all patients are on and remain on first-line ART over the period of analysis. From Schneider et. al., the average annual cost of first-line drugs is $10,685 ($6,945- $14,424)</w:t>
      </w:r>
      <w:r>
        <w:t xml:space="preserve"> </w:t>
      </w:r>
      <w:r>
        <w:t xml:space="preserve">[2]</w:t>
      </w:r>
      <w:r>
        <w:t xml:space="preserve">. Using this value, we assume a range in the annual ART cost of $7,000 to $15,000.</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[6]</w:t>
      </w:r>
      <w:r>
        <w:t xml:space="preserve"> </w:t>
      </w:r>
      <w:r>
        <w:t xml:space="preserve">spending ~9 years on first-line drugs, ~14 years on second-line drugs, ~3 years on third-line drugs, and the reminder of the time on higher classes of drug. Using the cost estimates from</w:t>
      </w:r>
      <w:r>
        <w:t xml:space="preserve"> </w:t>
      </w:r>
      <w:r>
        <w:t xml:space="preserve">[2]</w:t>
      </w:r>
      <w:r>
        <w:t xml:space="preserve">, we assume the annual costs of proving each line of drugs is $10,685 for first-line drugs, $19,364 for second-line drugs, $31,411 for third-line drugs, and $28,162 for fourth and higher lines of drugs. Multiplying the values for each drug class and summing produces the undiscounted cost presented here. To account for all uncertainties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enrollment in ATRAS for all treatment costs. For discounting purposes we include the time between infection and initiating ART, we estimated this from data on the CD4 count at initiating therapy and estimates for the rate of CD4 decline. In recent years participants in the AHOD cohort have initiated ART at around 350 cells per</w:t>
      </w:r>
      <w:r>
        <w:t xml:space="preserve"> </w:t>
      </w:r>
      <m:oMath>
        <m:r>
          <m:rPr/>
          <m:t>μ</m:t>
        </m:r>
      </m:oMath>
      <w:r>
        <w:t xml:space="preserve">L</w:t>
      </w:r>
      <w:r>
        <w:t xml:space="preserve"> </w:t>
      </w:r>
      <w:r>
        <w:t xml:space="preserve">[1]</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infected through partnerships with HIV-positive people ineligible for Medicare. The appendix provides details of the calculations.</w:t>
      </w:r>
    </w:p>
    <w:p>
      <w:r>
        <w:t xml:space="preserve">The total number of new infections equals the sum of infections caused by Medicare-ineligible MSM and non-MSM each year. For each population, we first calculate the probability of infecting another person using an equation incorporating the level of ART use and viral suppression. The proportion of the population on ART and with suppressed virus changes over time, matching the ATRAS data in Table 1.</w:t>
      </w:r>
    </w:p>
    <w:p>
      <w:r>
        <w:t xml:space="preserve">Using this probability, we estimate the number of new infections caused by MSM and non-MSM Medicare-ineligibles each year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multiplying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undiscounted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1000 input parameter sets by sampling from each of the parameter ranges in Table 1. For each of these parameter sets we then ran 20 simulations to account for stochastic variations. We ran each simulation for 5 years since the enrollment of patients into ATRAS. We then calculated summary statistics using the results from each simulation.</w:t>
      </w:r>
    </w:p>
    <w:bookmarkStart w:id="30" w:name="results"/>
    <w:p>
      <w:pPr>
        <w:pStyle w:val="Heading3"/>
      </w:pPr>
      <w:r>
        <w:t xml:space="preserve">Results</w:t>
      </w:r>
    </w:p>
    <w:bookmarkEnd w:id="30"/>
    <w:p>
      <w:r>
        <w:t xml:space="preserve">During the first year after enrollment for ATRAS, the number of new infections caused by Medicare ineligible people is estimated to be 22 (IQR: 18 - 26). As a percentage of the infected Medicare-ineligible population, this number of new infections equates to 4.9% of the population (Figure 1).</w:t>
      </w:r>
    </w:p>
    <w:p>
      <w:r>
        <w:t xml:space="preserve">The impact of expanding ATRAS to all Medicare ineligibles and achieving almost universal viral suppression is to reduce annual new infections to a median of 5 (IQR:3 - 7) after</w:t>
      </w:r>
      <w:r>
        <w:t xml:space="preserve"> </w:t>
      </w:r>
      <w:r>
        <w:rPr>
          <w:rStyle w:val="VerbatimChar"/>
        </w:rPr>
        <w:t xml:space="preserve">r</w:t>
      </w:r>
      <w:r>
        <w:t xml:space="preserve"> </w:t>
      </w:r>
      <w:r>
        <w:t xml:space="preserve">years (Figure 1). This corresponds to 1% of the Medicare ineligible population.</w:t>
      </w:r>
    </w:p>
    <w:p>
      <w:r>
        <w:rPr>
          <w:b/>
        </w:rPr>
        <w:t xml:space="preserve">Figure 1</w:t>
      </w:r>
      <w:r>
        <w:t xml:space="preserve"> </w:t>
      </w:r>
      <w:r>
        <w:t xml:space="preserve">- Annual number of new infections caused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provided to all Medicare ineligibles. Providing treatment to all Medicare ineligibles will avert a median of 81 new infections (IQR: 69.5 - 92.5) over 5 years.</w:t>
      </w:r>
    </w:p>
    <w:p>
      <w:r>
        <w:rPr>
          <w:b/>
        </w:rPr>
        <w:t xml:space="preserve">Figure 2</w:t>
      </w:r>
      <w:r>
        <w:t xml:space="preserve"> </w:t>
      </w:r>
      <w:r>
        <w:t xml:space="preserve">- Total number of number of new infections (left) and the distribution in infections averted (right) over 5 years after all HIV-positive people ineligible for Medicare are provided ART.</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p>
      <w:r>
        <w:t xml:space="preserve">Providing ART to Medicare ineligibles over 5 years is estimated to have a median undiscounted cost of $29,640,000 (IQR: $24,340,000 - $34,940,000) and a median discounted cost of $26,350,000 (IQR: $21,650,000 - $31,060,000). This corresponds to a cost per infection averted of $320,000 (IQR: $260,000 - $390,000) (with 5% discounting).</w:t>
      </w:r>
    </w:p>
    <w:p>
      <w:r>
        <w:t xml:space="preserve">Figure 3 shows the cumulative costs for providing ART to Medicare ineligible people for the next 5 years and the savings due to the reduction in infections during this period. The median undiscounted cumulative cost when ART is expanded to all Medicare ineligible PLHIV is $29,640,000 (IQR: $24,340,000 - $34,940,000) (taking the median of the sum for each simulation). The resulting reduction in infections gives a median saving of $69,410,000 (IQR: $59,000,000 - $79,820,000); Figure 3) in the lifetime treatment costs for newly infected people. When discounting is taken into account, the costs of providing ART reduce to a median $26,350,000 (IQR: $$21,650,000 - $31,060,000) and the resulting saving in treatment costs reduces to a median of $17,980,000 (IQR: $14,770,000 - $21,200,000).</w:t>
      </w:r>
    </w:p>
    <w:p>
      <w:r>
        <w:rPr>
          <w:b/>
        </w:rPr>
        <w:t xml:space="preserve">Figure 3</w:t>
      </w:r>
      <w:r>
        <w:t xml:space="preserve"> </w:t>
      </w:r>
      <w:r>
        <w:t xml:space="preserve">- Median total costs for providing all Medicare ineligibles with ART and the reduction in lifetime treatment costs for partners of Medicare Ineligibles who acquire infection over 5 years.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3"/>
                    <a:stretch>
                      <a:fillRect/>
                    </a:stretch>
                  </pic:blipFill>
                  <pic:spPr bwMode="auto">
                    <a:xfrm>
                      <a:off x="0" y="0"/>
                      <a:ext cx="5537200" cy="2768600"/>
                    </a:xfrm>
                    <a:prstGeom prst="rect">
                      <a:avLst/>
                    </a:prstGeom>
                    <a:noFill/>
                    <a:ln w="9525">
                      <a:noFill/>
                      <a:headEnd/>
                      <a:tailEnd/>
                    </a:ln>
                  </pic:spPr>
                </pic:pic>
              </a:graphicData>
            </a:graphic>
          </wp:inline>
        </w:drawing>
      </w:r>
    </w:p>
    <w:bookmarkStart w:id="34" w:name="appendix-details-of-calculations"/>
    <w:p>
      <w:pPr>
        <w:pStyle w:val="Heading3"/>
      </w:pPr>
      <w:r>
        <w:t xml:space="preserve">Appendix: Details of calculations</w:t>
      </w:r>
    </w:p>
    <w:bookmarkEnd w:id="34"/>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of infections, we use the stochastic approach in this analysis.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r>
            <m:rPr/>
            <m:t>(</m:t>
          </m:r>
          <m:r>
            <m:rPr/>
            <m:t>y</m:t>
          </m:r>
          <m:r>
            <m:rPr/>
            <m:t>)</m:t>
          </m:r>
          <m:sSub>
            <m:e>
              <m:r>
                <m:rPr/>
                <m:t>c</m:t>
              </m:r>
            </m:e>
            <m:sub>
              <m:r>
                <m:rPr/>
                <m:t>A</m:t>
              </m:r>
              <m:r>
                <m:rPr/>
                <m:t>R</m:t>
              </m:r>
              <m:r>
                <m:rPr/>
                <m:t>T</m:t>
              </m:r>
            </m:sub>
          </m:sSub>
          <m:r>
            <m:rPr/>
            <m:t>/</m:t>
          </m:r>
          <m:r>
            <m:rPr/>
            <m:t>(</m:t>
          </m:r>
          <m:r>
            <m:rPr/>
            <m:t>1</m:t>
          </m:r>
          <m:r>
            <m:rPr/>
            <m:t>+</m:t>
          </m:r>
          <m:sSub>
            <m:e>
              <m:r>
                <m:rPr/>
                <m:t>r</m:t>
              </m:r>
            </m:e>
            <m:sub>
              <m:r>
                <m:rPr/>
                <m:t>d</m:t>
              </m:r>
              <m:r>
                <m:rPr/>
                <m:t>i</m:t>
              </m:r>
              <m:r>
                <m:rPr/>
                <m:t>s</m:t>
              </m:r>
              <m:r>
                <m:rPr/>
                <m:t>c</m:t>
              </m:r>
            </m:sub>
          </m:sSub>
          <m:sSup>
            <m:e>
              <m:r>
                <m:rPr/>
                <m:t>)</m:t>
              </m:r>
            </m:e>
            <m:sup>
              <m:r>
                <m:rPr/>
                <m:t>y</m:t>
              </m:r>
            </m:sup>
          </m:sSup>
        </m:oMath>
      </m:oMathPara>
    </w:p>
    <w:p>
      <w:r>
        <w:t xml:space="preserve">(undiscounted costs are calculated by setting the discount rate to</w:t>
      </w:r>
      <w:r>
        <w:t xml:space="preserve"> </w:t>
      </w:r>
      <m:oMath>
        <m:r>
          <m:rPr/>
          <m:t>0</m:t>
        </m:r>
      </m:oMath>
      <w:r>
        <w:t xml:space="preserve">). The total future costs of providing treatment to newly infected partners of Medicare ineligibles is given by</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nary>
            <m:naryPr>
              <m:chr m:val="∑"/>
              <m:limLoc m:val="undOvr"/>
              <m:supHide m:val="off"/>
              <m:supHide m:val="off"/>
            </m:naryPr>
            <m:e>
              <m:sSub>
                <m:e>
                  <m:r>
                    <m:rPr/>
                    <m:t>c</m:t>
                  </m:r>
                </m:e>
                <m:sub>
                  <m:r>
                    <m:rPr/>
                    <m:t>A</m:t>
                  </m:r>
                  <m:r>
                    <m:rPr/>
                    <m:t>R</m:t>
                  </m:r>
                  <m:r>
                    <m:rPr/>
                    <m:t>T</m:t>
                  </m:r>
                </m:sub>
              </m:sSub>
            </m:e>
            <m:sub>
              <m:r>
                <m:rPr/>
                <m:t>l</m:t>
              </m:r>
              <m:r>
                <m:rPr/>
                <m:t>=</m:t>
              </m:r>
              <m:r>
                <m:rPr/>
                <m:t>1</m:t>
              </m:r>
            </m:sub>
            <m:sup>
              <m:sSub>
                <m:e>
                  <m:r>
                    <m:rPr/>
                    <m:t>y</m:t>
                  </m:r>
                </m:e>
                <m:sub>
                  <m:r>
                    <m:rPr/>
                    <m:t>a</m:t>
                  </m:r>
                  <m:r>
                    <m:rPr/>
                    <m:t>r</m:t>
                  </m:r>
                  <m:r>
                    <m:rPr/>
                    <m:t>t</m:t>
                  </m:r>
                </m:sub>
              </m:sSub>
            </m:sup>
          </m:nary>
          <m:r>
            <m:rPr/>
            <m:t>(</m:t>
          </m:r>
          <m:r>
            <m:rPr/>
            <m:t>l</m:t>
          </m:r>
          <m:r>
            <m:rPr/>
            <m:t>)</m:t>
          </m:r>
          <m:r>
            <m:rPr/>
            <m:t>/</m:t>
          </m:r>
          <m:r>
            <m:rPr/>
            <m:t>(</m:t>
          </m:r>
          <m:r>
            <m:rPr/>
            <m:t>1</m:t>
          </m:r>
          <m:r>
            <m:rPr/>
            <m:t>+</m:t>
          </m:r>
          <m:sSub>
            <m:e>
              <m:r>
                <m:rPr/>
                <m:t>r</m:t>
              </m:r>
            </m:e>
            <m:sub>
              <m:r>
                <m:rPr/>
                <m:t>d</m:t>
              </m:r>
              <m:r>
                <m:rPr/>
                <m:t>i</m:t>
              </m:r>
              <m:r>
                <m:rPr/>
                <m:t>s</m:t>
              </m:r>
              <m:r>
                <m:rPr/>
                <m:t>c</m:t>
              </m:r>
            </m:sub>
          </m:sSub>
          <m:sSup>
            <m:e>
              <m:r>
                <m:rPr/>
                <m:t>)</m:t>
              </m:r>
            </m:e>
            <m:sup>
              <m:r>
                <m:rPr/>
                <m:t>l</m:t>
              </m:r>
              <m:r>
                <m:rPr/>
                <m:t>+</m:t>
              </m:r>
              <m:sSub>
                <m:e>
                  <m:r>
                    <m:rPr/>
                    <m:t>t</m:t>
                  </m:r>
                </m:e>
                <m:sub>
                  <m:r>
                    <m:rPr/>
                    <m:t>A</m:t>
                  </m:r>
                  <m:r>
                    <m:rPr/>
                    <m:t>R</m:t>
                  </m:r>
                  <m:r>
                    <m:rPr/>
                    <m:t>T</m:t>
                  </m:r>
                </m:sub>
              </m:sSub>
            </m:sup>
          </m:sSup>
        </m:oMath>
      </m:oMathPara>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A</m:t>
            </m:r>
            <m:r>
              <m:rPr/>
              <m:t>R</m:t>
            </m:r>
            <m:r>
              <m:rPr/>
              <m:t>T</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5" w:name="references"/>
    <w:p>
      <w:pPr>
        <w:pStyle w:val="Heading3"/>
      </w:pPr>
      <w:r>
        <w:t xml:space="preserve">References</w:t>
      </w:r>
    </w:p>
    <w:bookmarkEnd w:id="35"/>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Gray RT, et al. (2015) Inferring hIV incidence from case surveillance with cD4+ cell counts. AIDS (London, England).</w:t>
      </w:r>
    </w:p>
    <w:p>
      <w:r>
        <w:t xml:space="preserve">4. Institute TK (2014) HIV in australia annual surveillance report 2014 supplement. Report. The Kirby Institute, UNSW Australia, Sydney NSW 2052.</w:t>
      </w:r>
    </w:p>
    <w:p>
      <w:r>
        <w:t xml:space="preserve">5. Cohen M, Chen Y, McCauley M, Gamble T, Hosseinipour M, et al. (2011) Prevention of hIV-1 infection with early antiretroviral therapy. New England Journal of Medicine.</w:t>
      </w:r>
    </w:p>
    <w:p>
      <w:r>
        <w:t xml:space="preserve">6. Jansson J, Wilson DP, Carr A, Petoumenos K, Boyd MA (2013) Currently available medications in resource-rich settings may not be sufficient for lifelong treatment of hIV. AIDS (London, England) 27: 1245.</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f97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6e282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4fc68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