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providing</w:t>
      </w:r>
      <w:r>
        <w:t xml:space="preserve"> </w:t>
      </w:r>
      <w:r>
        <w:t xml:space="preserve">ART</w:t>
      </w:r>
      <w:r>
        <w:t xml:space="preserve"> </w:t>
      </w:r>
      <w:r>
        <w:t xml:space="preserve">to</w:t>
      </w:r>
      <w:r>
        <w:t xml:space="preserve"> </w:t>
      </w:r>
      <w:r>
        <w:t xml:space="preserve">Medicare</w:t>
      </w:r>
      <w:r>
        <w:t xml:space="preserve"> </w:t>
      </w:r>
      <w:r>
        <w:t xml:space="preserve">ineligibles</w:t>
      </w:r>
    </w:p>
    <w:p>
      <w:pPr>
        <w:pStyle w:val="Authors"/>
      </w:pPr>
      <w:r>
        <w:t xml:space="preserve">Richard</w:t>
      </w:r>
      <w:r>
        <w:t xml:space="preserve"> </w:t>
      </w:r>
      <w:r>
        <w:t xml:space="preserve">T.</w:t>
      </w:r>
      <w:r>
        <w:t xml:space="preserve"> </w:t>
      </w:r>
      <w:r>
        <w:t xml:space="preserve">Gray</w:t>
      </w:r>
    </w:p>
    <w:p>
      <w:pPr>
        <w:pStyle w:val="Date"/>
      </w:pPr>
      <w:r>
        <w:t xml:space="preserve">Latest</w:t>
      </w:r>
      <w:r>
        <w:t xml:space="preserve"> </w:t>
      </w:r>
      <w:r>
        <w:t xml:space="preserve">version</w:t>
      </w:r>
      <w:r>
        <w:t xml:space="preserve"> </w:t>
      </w:r>
      <w:r>
        <w:t xml:space="preserve">-</w:t>
      </w:r>
      <w:r>
        <w:t xml:space="preserve"> </w:t>
      </w:r>
      <w:r>
        <w:t xml:space="preserve">January</w:t>
      </w:r>
      <w:r>
        <w:t xml:space="preserve"> </w:t>
      </w:r>
      <w:r>
        <w:t xml:space="preserve">28</w:t>
      </w:r>
      <w:r>
        <w:t xml:space="preserve"> </w:t>
      </w:r>
      <w:r>
        <w:t xml:space="preserve">2015</w:t>
      </w:r>
      <w:r>
        <w:t xml:space="preserve"> </w:t>
      </w:r>
    </w:p>
    <w:p>
      <w:r>
        <w:t xml:space="preserve">This document summarises a simple methodolgy to calculate the impact of providing anti-retroviral therapy (ART) for free to people living with HIV (PLHIV) in Australia who are medicare ineligible. This analysis uses data from the Australian HIV Obserbvational Database Temporary Residents Access Study (ATRAS)</w:t>
      </w:r>
      <w:r>
        <w:t xml:space="preserve"> </w:t>
      </w:r>
      <w:r>
        <w:t xml:space="preserve">[1]</w:t>
      </w:r>
      <w:r>
        <w:t xml:space="preserve">.The R code for these calculations is available in the associated Rmarkdown file.</w:t>
      </w:r>
    </w:p>
    <w:p>
      <w:r>
        <w:t xml:space="preserve">This document is written in dynamic format using R markdown v2 within R studio 0.98.1056 (using R version 3.1.2). Plots are created using the package ggplot2. Further details are available in the associated R markdown file which also contains the R code to produce all the results when the markdown is run. Code blocks have been supressed in the output document.</w:t>
      </w:r>
      <w:r>
        <w:t xml:space="preserve"> </w:t>
      </w:r>
    </w:p>
    <w:bookmarkStart w:id="21" w:name="methodogy"/>
    <w:p>
      <w:pPr>
        <w:pStyle w:val="Heading3"/>
      </w:pPr>
      <w:r>
        <w:t xml:space="preserve">Methodogy</w:t>
      </w:r>
    </w:p>
    <w:bookmarkEnd w:id="21"/>
    <w:p>
      <w:r>
        <w:t xml:space="preserve">This section summarises the methodology used for the calculations. A simple mathematical model is used to caluclate the change in population size over time and the number of new infections in partners of medicare ineligible people. Model details, assumptions and input parameters are described below.</w:t>
      </w:r>
    </w:p>
    <w:bookmarkStart w:id="22" w:name="demographics"/>
    <w:p>
      <w:pPr>
        <w:pStyle w:val="Heading4"/>
      </w:pPr>
      <w:r>
        <w:t xml:space="preserve">Demographics</w:t>
      </w:r>
    </w:p>
    <w:bookmarkEnd w:id="22"/>
    <w:p>
      <w:r>
        <w:t xml:space="preserve">For this analysis we consider a population of PLHIV who are medicare ineligible with the characteristics of people in ATRAS</w:t>
      </w:r>
      <w:r>
        <w:t xml:space="preserve"> </w:t>
      </w:r>
      <w:r>
        <w:t xml:space="preserve">[1]</w:t>
      </w:r>
      <w:r>
        <w:t xml:space="preserve">. The overall population is split into heterosexual males and females, and males who are gay, bisexual or men who have sex with men (GBM). We assume females do not engage in sex work and the population does not include people who inject drugs (PWID). The porportion of people in each of these populations is based on ATRAS data and assumed to be constant over time. This comparmentalisation of the population is used to distinguish the risk of HIV infection rather than treatment coverage and adherence.</w:t>
      </w:r>
    </w:p>
    <w:p>
      <w:r>
        <w:t xml:space="preserve">The number of medicare ineligibles can change over time with people becoming eligible for medicare provided ART and new temporary residents entering the population. This movement is represented by a constant rate</w:t>
      </w:r>
      <w:r>
        <w:t xml:space="preserve"> </w:t>
      </w:r>
      <m:oMath>
        <m:r>
          <m:rPr/>
          <m:t>π</m:t>
        </m:r>
      </m:oMath>
      <w:r>
        <w:t xml:space="preserve"> </w:t>
      </w:r>
      <w:r>
        <w:t xml:space="preserve">(which is positive for a growing population and negative for a declining population). In ATRAS aproximately 20% of people become medicare eligible and leave the population each year, this would be lower bound on the rate of population change. Letting</w:t>
      </w:r>
      <w:r>
        <w:t xml:space="preserve"> </w:t>
      </w:r>
      <m:oMath>
        <m:r>
          <m:rPr/>
          <m:t>N</m:t>
        </m:r>
        <m:r>
          <m:rPr/>
          <m:t>(</m:t>
        </m:r>
        <m:r>
          <m:rPr/>
          <m:t>y</m:t>
        </m:r>
        <m:r>
          <m:rPr/>
          <m:t>)</m:t>
        </m:r>
      </m:oMath>
      <w:r>
        <w:t xml:space="preserve"> </w:t>
      </w:r>
      <w:r>
        <w:t xml:space="preserve">equal the total population size in year</w:t>
      </w:r>
      <w:r>
        <w:t xml:space="preserve"> </w:t>
      </w:r>
      <m:oMath>
        <m:r>
          <m:rPr/>
          <m:t>y</m:t>
        </m:r>
      </m:oMath>
      <w:r>
        <w:t xml:space="preserve">, the number of medicare ineligible people in the population is then given by</w:t>
      </w:r>
    </w:p>
    <w:p>
      <m:oMathPara>
        <m:oMathParaPr>
          <m:jc m:val="center"/>
        </m:oMathParaPr>
        <m:oMath>
          <m:r>
            <m:rPr/>
            <m:t>N</m:t>
          </m:r>
          <m:r>
            <m:rPr/>
            <m:t>(</m:t>
          </m:r>
          <m:r>
            <m:rPr/>
            <m:t>y</m:t>
          </m:r>
          <m:r>
            <m:rPr/>
            <m:t>)</m:t>
          </m:r>
          <m:r>
            <m:rPr/>
            <m:t>=</m:t>
          </m:r>
          <m:r>
            <m:rPr/>
            <m:t>N</m:t>
          </m:r>
          <m:r>
            <m:rPr/>
            <m:t>(</m:t>
          </m:r>
          <m:r>
            <m:rPr/>
            <m:t>0</m:t>
          </m:r>
          <m:r>
            <m:rPr/>
            <m:t>)</m:t>
          </m:r>
          <m:sSup>
            <m:e>
              <m:r>
                <m:rPr/>
                <m:t>π</m:t>
              </m:r>
            </m:e>
            <m:sup>
              <m:r>
                <m:rPr/>
                <m:t>y</m:t>
              </m:r>
            </m:sup>
          </m:sSup>
          <m:r>
            <m:rPr/>
            <m:t>,</m:t>
          </m:r>
        </m:oMath>
      </m:oMathPara>
    </w:p>
    <w:p>
      <w:r>
        <w:t xml:space="preserve">.</w:t>
      </w:r>
    </w:p>
    <w:bookmarkStart w:id="23" w:name="clinical-characteristics"/>
    <w:p>
      <w:pPr>
        <w:pStyle w:val="Heading4"/>
      </w:pPr>
      <w:r>
        <w:t xml:space="preserve">Clinical characteristics</w:t>
      </w:r>
    </w:p>
    <w:bookmarkEnd w:id="23"/>
    <w:p>
      <w:r>
        <w:t xml:space="preserve">The main aim of this analysis is to investigate the impact on HIV transmission of providing all medicare ineligible people in ATRAS with ART. For the calculations we simply consider the proportion of the population taking ART and the proportion of those on ART with viral suppression. Both of these inputs can change over time based on the ATRAS data. We do not consider different proportions for each population group (BUT WE CAN IF ATRAS HAS THIS DATA). The most recent data value is used for future projections.</w:t>
      </w:r>
    </w:p>
    <w:bookmarkStart w:id="24" w:name="hiv-transmission-to-partners"/>
    <w:p>
      <w:pPr>
        <w:pStyle w:val="Heading4"/>
      </w:pPr>
      <w:r>
        <w:t xml:space="preserve">HIV transmission to partners</w:t>
      </w:r>
    </w:p>
    <w:bookmarkEnd w:id="24"/>
    <w:p>
      <w:r>
        <w:t xml:space="preserve">HIV transmission occurs through sexual intercourse between medicare ineligibles and their sexual partners. We assume initiating ART does not change sexual behaviour and the number of partnerships, sexual acts per partnership, and the level of condom use is similar to the overall Medicare eligible population in Australia. We also do not consider onward transmission from newly infected partners. As the sexual behaviour for the ART and non-ART population is the same, we use a simple risk equation model with behavioural parameters set to reflect the overall annual risk of transmission rather than incorporating different partnership types and more complex sexual behaviours.</w:t>
      </w:r>
    </w:p>
    <w:p>
      <w:r>
        <w:t xml:space="preserve">Key assumptions:</w:t>
      </w:r>
    </w:p>
    <w:p>
      <w:pPr>
        <w:pStyle w:val="Compact"/>
        <w:numPr>
          <w:numId w:val="2"/>
          <w:ilvl w:val="0"/>
        </w:numPr>
      </w:pPr>
      <w:r>
        <w:t xml:space="preserve">All sexual partners are HIV negative.</w:t>
      </w:r>
    </w:p>
    <w:p>
      <w:pPr>
        <w:pStyle w:val="Compact"/>
        <w:numPr>
          <w:numId w:val="2"/>
          <w:ilvl w:val="0"/>
        </w:numPr>
      </w:pPr>
      <w:r>
        <w:t xml:space="preserve">Homogeneous mixing is assumed which means partnerships are not maintained from year to year.</w:t>
      </w:r>
    </w:p>
    <w:p>
      <w:pPr>
        <w:pStyle w:val="Compact"/>
        <w:numPr>
          <w:numId w:val="2"/>
          <w:ilvl w:val="0"/>
        </w:numPr>
      </w:pPr>
      <w:r>
        <w:t xml:space="preserve">HIV transmission only occurs through sexual intercourse.</w:t>
      </w:r>
    </w:p>
    <w:p>
      <w:pPr>
        <w:pStyle w:val="Compact"/>
        <w:numPr>
          <w:numId w:val="2"/>
          <w:ilvl w:val="0"/>
        </w:numPr>
      </w:pPr>
      <w:r>
        <w:t xml:space="preserve">There is no difference in sexual behaviour between those on and off ART. Hence, the only factor affecting HIV transmission is ART use and viral suppression.</w:t>
      </w:r>
    </w:p>
    <w:p>
      <w:pPr>
        <w:pStyle w:val="Compact"/>
        <w:numPr>
          <w:numId w:val="2"/>
          <w:ilvl w:val="0"/>
        </w:numPr>
      </w:pPr>
      <w:r>
        <w:t xml:space="preserve">Those with unsuppressed virus have the same transmission risk as those not taking ART.</w:t>
      </w:r>
    </w:p>
    <w:p>
      <w:pPr>
        <w:pStyle w:val="Compact"/>
        <w:numPr>
          <w:numId w:val="2"/>
          <w:ilvl w:val="0"/>
        </w:numPr>
      </w:pPr>
      <w:r>
        <w:t xml:space="preserve">Females and males have the same number of partners, sexual acts, and condom use on average.</w:t>
      </w:r>
    </w:p>
    <w:p>
      <w:pPr>
        <w:pStyle w:val="Compact"/>
        <w:numPr>
          <w:numId w:val="2"/>
          <w:ilvl w:val="0"/>
        </w:numPr>
      </w:pPr>
      <w:r>
        <w:t xml:space="preserve">Females and males have the same sexual behaviour as males and females in the general heterosexual population in Australia.</w:t>
      </w:r>
    </w:p>
    <w:p>
      <w:pPr>
        <w:pStyle w:val="Compact"/>
        <w:numPr>
          <w:numId w:val="2"/>
          <w:ilvl w:val="0"/>
        </w:numPr>
      </w:pPr>
      <w:r>
        <w:t xml:space="preserve">Behavioural and transmission parameters are assumed constant over time.</w:t>
      </w:r>
    </w:p>
    <w:p>
      <w:pPr>
        <w:pStyle w:val="Compact"/>
        <w:numPr>
          <w:numId w:val="2"/>
          <w:ilvl w:val="0"/>
        </w:numPr>
      </w:pPr>
      <w:r>
        <w:t xml:space="preserve">GBM are exclusively homesexual.</w:t>
      </w:r>
    </w:p>
    <w:bookmarkStart w:id="25" w:name="costs-associated-with-art-provision"/>
    <w:p>
      <w:pPr>
        <w:pStyle w:val="Heading4"/>
      </w:pPr>
      <w:r>
        <w:t xml:space="preserve">Costs associated with ART provision</w:t>
      </w:r>
    </w:p>
    <w:bookmarkEnd w:id="25"/>
    <w:p>
      <w:r>
        <w:t xml:space="preserve">Our analysis includes an estimate of the annual cost of providing ART, care and support to Medicare ineligibles and their partners who become infected. We obtained estimates of these costs using previous work for Australian settings</w:t>
      </w:r>
      <w:r>
        <w:t xml:space="preserve"> </w:t>
      </w:r>
      <w:r>
        <w:t xml:space="preserve">[2]</w:t>
      </w:r>
      <w:r>
        <w:t xml:space="preserve">. By summing all costs associated with providing ART to Medicare ineligibles and the average 'lifetime' cost of providing care and support to PLHIV for their infected partners, we estimate the cost per infection averted.</w:t>
      </w:r>
    </w:p>
    <w:bookmarkStart w:id="26" w:name="parameter-table"/>
    <w:p>
      <w:pPr>
        <w:pStyle w:val="Heading4"/>
      </w:pPr>
      <w:r>
        <w:t xml:space="preserve">Parameter table</w:t>
      </w:r>
    </w:p>
    <w:bookmarkEnd w:id="26"/>
    <w:p>
      <w:r>
        <w:t xml:space="preserve">Table 1 lists all input parameters and their values and ranges.</w:t>
      </w:r>
    </w:p>
    <w:p>
      <w:r>
        <w:rPr>
          <w:b/>
        </w:rPr>
        <w:t xml:space="preserve">Table 1</w:t>
      </w:r>
      <w:r>
        <w:t xml:space="preserve"> </w:t>
      </w:r>
      <w:r>
        <w:t xml:space="preserve">- Calculation input parameters. Note parameter values and ranges are simple placeholders at the moment. References also need to be found and inserted.</w:t>
      </w:r>
    </w:p>
    <w:tbl>
      <w:tblPr>
        <w:tblStyle w:val="TableNormal"/>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Endnote justification</w:t>
            </w:r>
          </w:p>
        </w:tc>
      </w:tr>
      <w:tr>
        <w:tc>
          <w:p>
            <w:pPr>
              <w:pStyle w:val="Compact"/>
              <w:jc w:val="left"/>
            </w:pPr>
            <w:r>
              <w:rPr>
                <w:b/>
              </w:rPr>
              <w:t xml:space="preserve">Demographic parameters</w:t>
            </w:r>
          </w:p>
        </w:tc>
        <w:tc>
          <w:p/>
        </w:tc>
        <w:tc>
          <w:p/>
        </w:tc>
        <w:tc>
          <w:p/>
        </w:tc>
      </w:tr>
      <w:tr>
        <w:tc>
          <w:p>
            <w:pPr>
              <w:pStyle w:val="Compact"/>
              <w:jc w:val="left"/>
            </w:pPr>
            <m:oMath>
              <m:r>
                <m:rPr/>
                <m:t>N</m:t>
              </m:r>
              <m:r>
                <m:rPr/>
                <m:t>(</m:t>
              </m:r>
              <m:r>
                <m:rPr/>
                <m:t>0</m:t>
              </m:r>
              <m:r>
                <m:rPr/>
                <m:t>)</m:t>
              </m:r>
            </m:oMath>
          </w:p>
        </w:tc>
        <w:tc>
          <w:p>
            <w:pPr>
              <w:pStyle w:val="Compact"/>
              <w:jc w:val="left"/>
            </w:pPr>
            <w:r>
              <w:t xml:space="preserve">Overall population size in initial year (2014)</w:t>
            </w:r>
          </w:p>
        </w:tc>
        <w:tc>
          <w:p>
            <w:pPr>
              <w:pStyle w:val="Compact"/>
              <w:jc w:val="left"/>
            </w:pPr>
            <w:r>
              <w:t xml:space="preserve">400</w:t>
            </w:r>
          </w:p>
        </w:tc>
        <w:tc>
          <w:p>
            <w:pPr>
              <w:pStyle w:val="Compact"/>
              <w:jc w:val="left"/>
            </w:pPr>
            <w:r>
              <w:t xml:space="preserve">[300 - 500]</w:t>
            </w:r>
          </w:p>
        </w:tc>
        <w:tc>
          <w:p>
            <w:pPr>
              <w:pStyle w:val="Compact"/>
              <w:jc w:val="left"/>
            </w:pPr>
            <w:r>
              <w:t xml:space="preserve">1</w:t>
            </w:r>
          </w:p>
        </w:tc>
      </w:tr>
      <w:tr>
        <w:tc>
          <w:p>
            <w:pPr>
              <w:pStyle w:val="Compact"/>
              <w:jc w:val="left"/>
            </w:pPr>
            <m:oMath>
              <m:r>
                <m:rPr/>
                <m:t>π</m:t>
              </m:r>
            </m:oMath>
          </w:p>
        </w:tc>
        <w:tc>
          <w:p>
            <w:pPr>
              <w:pStyle w:val="Compact"/>
              <w:jc w:val="left"/>
            </w:pPr>
            <w:r>
              <w:t xml:space="preserve">Rate of entry into population</w:t>
            </w:r>
          </w:p>
        </w:tc>
        <w:tc>
          <w:p>
            <w:pPr>
              <w:pStyle w:val="Compact"/>
              <w:jc w:val="left"/>
            </w:pPr>
            <w:r>
              <w:t xml:space="preserve">1 /yr</w:t>
            </w:r>
          </w:p>
        </w:tc>
        <w:tc>
          <w:p>
            <w:pPr>
              <w:pStyle w:val="Compact"/>
              <w:jc w:val="left"/>
            </w:pPr>
            <w:r>
              <w:t xml:space="preserve">[0.8 - 1.1]</w:t>
            </w:r>
          </w:p>
        </w:tc>
        <w:tc>
          <w:p>
            <w:pPr>
              <w:pStyle w:val="Compact"/>
              <w:jc w:val="left"/>
            </w:pPr>
            <w:r>
              <w:t xml:space="preserve">1</w:t>
            </w:r>
          </w:p>
        </w:tc>
      </w:tr>
      <w:tr>
        <w:tc>
          <w:p>
            <w:pPr>
              <w:pStyle w:val="Compact"/>
              <w:jc w:val="left"/>
            </w:pPr>
            <m:oMath>
              <m:sSub>
                <m:e>
                  <m:r>
                    <m:rPr/>
                    <m:t>p</m:t>
                  </m:r>
                </m:e>
                <m:sub>
                  <m:r>
                    <m:rPr/>
                    <m:t>f</m:t>
                  </m:r>
                </m:sub>
              </m:sSub>
            </m:oMath>
          </w:p>
        </w:tc>
        <w:tc>
          <w:p>
            <w:pPr>
              <w:pStyle w:val="Compact"/>
              <w:jc w:val="left"/>
            </w:pPr>
            <w:r>
              <w:t xml:space="preserve">Proportion population female</w:t>
            </w:r>
          </w:p>
        </w:tc>
        <w:tc>
          <w:p>
            <w:pPr>
              <w:pStyle w:val="Compact"/>
              <w:jc w:val="left"/>
            </w:pPr>
            <w:r>
              <w:t xml:space="preserve">0.4</w:t>
            </w:r>
          </w:p>
        </w:tc>
        <w:tc>
          <w:p>
            <w:pPr>
              <w:pStyle w:val="Compact"/>
              <w:jc w:val="left"/>
            </w:pPr>
            <w:r>
              <w:t xml:space="preserve">[0.3 - 0.5]</w:t>
            </w:r>
          </w:p>
        </w:tc>
        <w:tc>
          <w:p>
            <w:pPr>
              <w:pStyle w:val="Compact"/>
              <w:jc w:val="left"/>
            </w:pPr>
            <w:r>
              <w:t xml:space="preserve">1</w:t>
            </w:r>
          </w:p>
        </w:tc>
      </w:tr>
      <w:tr>
        <w:tc>
          <w:p>
            <w:pPr>
              <w:pStyle w:val="Compact"/>
              <w:jc w:val="left"/>
            </w:pPr>
            <m:oMath>
              <m:sSub>
                <m:e>
                  <m:r>
                    <m:rPr/>
                    <m:t>p</m:t>
                  </m:r>
                </m:e>
                <m:sub>
                  <m:r>
                    <m:rPr/>
                    <m:t>m</m:t>
                  </m:r>
                </m:sub>
              </m:sSub>
            </m:oMath>
          </w:p>
        </w:tc>
        <w:tc>
          <w:p>
            <w:pPr>
              <w:pStyle w:val="Compact"/>
              <w:jc w:val="left"/>
            </w:pPr>
            <w:r>
              <w:t xml:space="preserve">Proportion population male</w:t>
            </w:r>
          </w:p>
        </w:tc>
        <w:tc>
          <w:p>
            <w:pPr>
              <w:pStyle w:val="Compact"/>
              <w:jc w:val="left"/>
            </w:pPr>
            <w:r>
              <w:t xml:space="preserve">0.4</w:t>
            </w:r>
          </w:p>
        </w:tc>
        <w:tc>
          <w:p>
            <w:pPr>
              <w:pStyle w:val="Compact"/>
              <w:jc w:val="left"/>
            </w:pPr>
            <w:r>
              <w:t xml:space="preserve">[0.3 - 0.5]</w:t>
            </w:r>
          </w:p>
        </w:tc>
        <w:tc>
          <w:p>
            <w:pPr>
              <w:pStyle w:val="Compact"/>
              <w:jc w:val="left"/>
            </w:pPr>
            <w:r>
              <w:t xml:space="preserve">1</w:t>
            </w:r>
          </w:p>
        </w:tc>
      </w:tr>
      <w:tr>
        <w:tc>
          <w:p>
            <w:pPr>
              <w:pStyle w:val="Compact"/>
              <w:jc w:val="left"/>
            </w:pPr>
            <m:oMath>
              <m:sSub>
                <m:e>
                  <m:r>
                    <m:rPr/>
                    <m:t>p</m:t>
                  </m:r>
                </m:e>
                <m:sub>
                  <m:r>
                    <m:rPr/>
                    <m:t>g</m:t>
                  </m:r>
                </m:sub>
              </m:sSub>
            </m:oMath>
          </w:p>
        </w:tc>
        <w:tc>
          <w:p>
            <w:pPr>
              <w:pStyle w:val="Compact"/>
              <w:jc w:val="left"/>
            </w:pPr>
            <w:r>
              <w:t xml:space="preserve">Proprtion population GBM</w:t>
            </w:r>
          </w:p>
        </w:tc>
        <w:tc>
          <w:p>
            <w:pPr>
              <w:pStyle w:val="Compact"/>
              <w:jc w:val="left"/>
            </w:pPr>
            <m:oMath>
              <m:r>
                <m:rPr/>
                <m:t>1</m:t>
              </m:r>
              <m:r>
                <m:rPr/>
                <m:t>−</m:t>
              </m:r>
              <m:sSub>
                <m:e>
                  <m:r>
                    <m:rPr/>
                    <m:t>p</m:t>
                  </m:r>
                </m:e>
                <m:sub>
                  <m:r>
                    <m:rPr/>
                    <m:t>f</m:t>
                  </m:r>
                </m:sub>
              </m:sSub>
              <m:r>
                <m:rPr/>
                <m:t>−</m:t>
              </m:r>
              <m:sSub>
                <m:e>
                  <m:r>
                    <m:rPr/>
                    <m:t>p</m:t>
                  </m:r>
                </m:e>
                <m:sub>
                  <m:r>
                    <m:rPr/>
                    <m:t>m</m:t>
                  </m:r>
                </m:sub>
              </m:sSub>
            </m:oMath>
          </w:p>
        </w:tc>
        <w:tc>
          <w:p>
            <w:pPr>
              <w:pStyle w:val="Compact"/>
              <w:jc w:val="left"/>
            </w:pPr>
            <w:r>
              <w:t xml:space="preserve">Depends on</w:t>
            </w:r>
            <w:r>
              <w:t xml:space="preserve"> </w:t>
            </w:r>
            <m:oMath>
              <m:sSub>
                <m:e>
                  <m:r>
                    <m:rPr/>
                    <m:t>p</m:t>
                  </m:r>
                </m:e>
                <m:sub>
                  <m:r>
                    <m:rPr/>
                    <m:t>f</m:t>
                  </m:r>
                </m:sub>
              </m:sSub>
            </m:oMath>
            <w:r>
              <w:t xml:space="preserve"> </w:t>
            </w:r>
            <w:r>
              <w:t xml:space="preserve">and</w:t>
            </w:r>
            <w:r>
              <w:t xml:space="preserve"> </w:t>
            </w:r>
            <m:oMath>
              <m:sSub>
                <m:e>
                  <m:r>
                    <m:rPr/>
                    <m:t>p</m:t>
                  </m:r>
                </m:e>
                <m:sub>
                  <m:r>
                    <m:rPr/>
                    <m:t>m</m:t>
                  </m:r>
                </m:sub>
              </m:sSub>
            </m:oMath>
            <w:r>
              <w:t xml:space="preserve"> </w:t>
            </w:r>
            <w:r>
              <w:t xml:space="preserve">values</w:t>
            </w:r>
          </w:p>
        </w:tc>
        <w:tc>
          <w:p>
            <w:pPr>
              <w:pStyle w:val="Compact"/>
              <w:jc w:val="left"/>
            </w:pPr>
            <w:r>
              <w:t xml:space="preserve">1</w:t>
            </w:r>
          </w:p>
        </w:tc>
      </w:tr>
      <w:tr>
        <w:tc>
          <w:p>
            <w:pPr>
              <w:pStyle w:val="Compact"/>
              <w:jc w:val="left"/>
            </w:pPr>
            <w:r>
              <w:rPr>
                <w:b/>
              </w:rPr>
              <w:t xml:space="preserve">Clinical parameters</w:t>
            </w:r>
          </w:p>
        </w:tc>
        <w:tc>
          <w:p/>
        </w:tc>
        <w:tc>
          <w:p/>
        </w:tc>
        <w:tc>
          <w:p/>
        </w:tc>
      </w:tr>
      <w:tr>
        <w:tc>
          <w:p>
            <w:pPr>
              <w:pStyle w:val="Compact"/>
              <w:jc w:val="left"/>
            </w:pPr>
            <m:oMath>
              <m:r>
                <m:rPr/>
                <m:t>θ</m:t>
              </m:r>
            </m:oMath>
          </w:p>
        </w:tc>
        <w:tc>
          <w:p>
            <w:pPr>
              <w:pStyle w:val="Compact"/>
              <w:jc w:val="left"/>
            </w:pPr>
            <w:r>
              <w:t xml:space="preserve">Proportion of population taking ART</w:t>
            </w:r>
          </w:p>
        </w:tc>
        <w:tc>
          <w:p>
            <w:pPr>
              <w:pStyle w:val="Compact"/>
              <w:jc w:val="left"/>
            </w:pPr>
            <w:r>
              <w:t xml:space="preserve">ATRAS data</w:t>
            </w:r>
          </w:p>
        </w:tc>
        <w:tc>
          <w:p>
            <w:pPr>
              <w:pStyle w:val="Compact"/>
              <w:jc w:val="left"/>
            </w:pPr>
            <w:r>
              <w:t xml:space="preserve">Multiplicative factor [0.75 - 1.25]</w:t>
            </w:r>
          </w:p>
        </w:tc>
        <w:tc>
          <w:p>
            <w:pPr>
              <w:pStyle w:val="Compact"/>
              <w:jc w:val="left"/>
            </w:pPr>
            <w:r>
              <w:t xml:space="preserve">2</w:t>
            </w:r>
          </w:p>
        </w:tc>
      </w:tr>
      <w:tr>
        <w:tc>
          <w:p>
            <w:pPr>
              <w:pStyle w:val="Compact"/>
              <w:jc w:val="left"/>
            </w:pPr>
            <m:oMath>
              <m:r>
                <m:rPr/>
                <m:t>ψ</m:t>
              </m:r>
            </m:oMath>
          </w:p>
        </w:tc>
        <w:tc>
          <w:p>
            <w:pPr>
              <w:pStyle w:val="Compact"/>
              <w:jc w:val="left"/>
            </w:pPr>
            <w:r>
              <w:t xml:space="preserve">Proportion of population taking ART</w:t>
            </w:r>
          </w:p>
        </w:tc>
        <w:tc>
          <w:p>
            <w:pPr>
              <w:pStyle w:val="Compact"/>
              <w:jc w:val="left"/>
            </w:pPr>
            <w:r>
              <w:t xml:space="preserve">ATRAS data</w:t>
            </w:r>
          </w:p>
        </w:tc>
        <w:tc>
          <w:p>
            <w:pPr>
              <w:pStyle w:val="Compact"/>
              <w:jc w:val="left"/>
            </w:pPr>
            <w:r>
              <w:t xml:space="preserve">Multiplicative factor [0.75 - 1.25]</w:t>
            </w:r>
          </w:p>
        </w:tc>
        <w:tc>
          <w:p>
            <w:pPr>
              <w:pStyle w:val="Compact"/>
              <w:jc w:val="left"/>
            </w:pPr>
            <w:r>
              <w:t xml:space="preserve">2</w:t>
            </w:r>
          </w:p>
        </w:tc>
      </w:tr>
      <w:tr>
        <w:tc>
          <w:p>
            <w:pPr>
              <w:pStyle w:val="Compact"/>
              <w:jc w:val="left"/>
            </w:pPr>
            <w:r>
              <w:rPr>
                <w:b/>
              </w:rPr>
              <w:t xml:space="preserve">HIV behavioural parameters</w:t>
            </w:r>
          </w:p>
        </w:tc>
        <w:tc>
          <w:p/>
        </w:tc>
        <w:tc>
          <w:p/>
        </w:tc>
        <w:tc>
          <w:p/>
        </w:tc>
      </w:tr>
      <w:tr>
        <w:tc>
          <w:p>
            <w:pPr>
              <w:pStyle w:val="Compact"/>
              <w:jc w:val="left"/>
            </w:pPr>
            <m:oMath>
              <m:sSub>
                <m:e>
                  <m:r>
                    <m:rPr/>
                    <m:t>a</m:t>
                  </m:r>
                </m:e>
                <m:sub>
                  <m:r>
                    <m:rPr/>
                    <m:t>h</m:t>
                  </m:r>
                </m:sub>
              </m:sSub>
            </m:oMath>
          </w:p>
        </w:tc>
        <w:tc>
          <w:p>
            <w:pPr>
              <w:pStyle w:val="Compact"/>
              <w:jc w:val="left"/>
            </w:pPr>
            <w:r>
              <w:t xml:space="preserve">Annual number of heterosexual acts between females and males</w:t>
            </w:r>
          </w:p>
        </w:tc>
        <w:tc>
          <w:p>
            <w:pPr>
              <w:pStyle w:val="Compact"/>
              <w:jc w:val="left"/>
            </w:pPr>
            <w:r>
              <w:t xml:space="preserve">50</w:t>
            </w:r>
          </w:p>
        </w:tc>
        <w:tc>
          <w:p>
            <w:pPr>
              <w:pStyle w:val="Compact"/>
              <w:jc w:val="left"/>
            </w:pPr>
            <w:r>
              <w:t xml:space="preserve">[40 - 60]</w:t>
            </w:r>
          </w:p>
        </w:tc>
        <w:tc>
          <w:p>
            <w:pPr>
              <w:pStyle w:val="Compact"/>
              <w:jc w:val="left"/>
            </w:pPr>
            <w:r>
              <w:t xml:space="preserve">3</w:t>
            </w:r>
          </w:p>
        </w:tc>
      </w:tr>
      <w:tr>
        <w:tc>
          <w:p>
            <w:pPr>
              <w:pStyle w:val="Compact"/>
              <w:jc w:val="left"/>
            </w:pPr>
            <m:oMath>
              <m:sSubSup>
                <m:e>
                  <m:r>
                    <m:rPr/>
                    <m:t>p</m:t>
                  </m:r>
                </m:e>
                <m:sub>
                  <m:r>
                    <m:rPr/>
                    <m:t>h</m:t>
                  </m:r>
                </m:sub>
                <m:sup>
                  <m:r>
                    <m:rPr/>
                    <m:t>c</m:t>
                  </m:r>
                </m:sup>
              </m:sSubSup>
            </m:oMath>
          </w:p>
        </w:tc>
        <w:tc>
          <w:p>
            <w:pPr>
              <w:pStyle w:val="Compact"/>
              <w:jc w:val="left"/>
            </w:pPr>
            <w:r>
              <w:t xml:space="preserve">Proportion of heterosexual acts protected with a condom</w:t>
            </w:r>
          </w:p>
        </w:tc>
        <w:tc>
          <w:p>
            <w:pPr>
              <w:pStyle w:val="Compact"/>
              <w:jc w:val="left"/>
            </w:pPr>
            <w:r>
              <w:t xml:space="preserve">0.2</w:t>
            </w:r>
          </w:p>
        </w:tc>
        <w:tc>
          <w:p>
            <w:pPr>
              <w:pStyle w:val="Compact"/>
              <w:jc w:val="left"/>
            </w:pPr>
            <w:r>
              <w:t xml:space="preserve">[0.1 - 0.3]</w:t>
            </w:r>
          </w:p>
        </w:tc>
        <w:tc>
          <w:p>
            <w:pPr>
              <w:pStyle w:val="Compact"/>
              <w:jc w:val="left"/>
            </w:pPr>
            <w:r>
              <w:t xml:space="preserve">4</w:t>
            </w:r>
          </w:p>
        </w:tc>
      </w:tr>
      <w:tr>
        <w:tc>
          <w:p>
            <w:pPr>
              <w:pStyle w:val="Compact"/>
              <w:jc w:val="left"/>
            </w:pPr>
            <m:oMath>
              <m:sSub>
                <m:e>
                  <m:r>
                    <m:rPr/>
                    <m:t>a</m:t>
                  </m:r>
                </m:e>
                <m:sub>
                  <m:r>
                    <m:rPr/>
                    <m:t>g</m:t>
                  </m:r>
                </m:sub>
              </m:sSub>
            </m:oMath>
          </w:p>
        </w:tc>
        <w:tc>
          <w:p>
            <w:pPr>
              <w:pStyle w:val="Compact"/>
              <w:jc w:val="left"/>
            </w:pPr>
            <w:r>
              <w:t xml:space="preserve">Annual number of sexual acts with other GBM</w:t>
            </w:r>
          </w:p>
        </w:tc>
        <w:tc>
          <w:p>
            <w:pPr>
              <w:pStyle w:val="Compact"/>
              <w:jc w:val="left"/>
            </w:pPr>
            <w:r>
              <w:t xml:space="preserve">80</w:t>
            </w:r>
          </w:p>
        </w:tc>
        <w:tc>
          <w:p>
            <w:pPr>
              <w:pStyle w:val="Compact"/>
              <w:jc w:val="left"/>
            </w:pPr>
            <w:r>
              <w:t xml:space="preserve">[70 - 90]</w:t>
            </w:r>
          </w:p>
        </w:tc>
        <w:tc>
          <w:p>
            <w:pPr>
              <w:pStyle w:val="Compact"/>
              <w:jc w:val="left"/>
            </w:pPr>
            <w:r>
              <w:t xml:space="preserve">5</w:t>
            </w:r>
          </w:p>
        </w:tc>
      </w:tr>
      <w:tr>
        <w:tc>
          <w:p>
            <w:pPr>
              <w:pStyle w:val="Compact"/>
              <w:jc w:val="left"/>
            </w:pPr>
            <m:oMath>
              <m:sSubSup>
                <m:e>
                  <m:r>
                    <m:rPr/>
                    <m:t>p</m:t>
                  </m:r>
                </m:e>
                <m:sub>
                  <m:r>
                    <m:rPr/>
                    <m:t>g</m:t>
                  </m:r>
                </m:sub>
                <m:sup>
                  <m:r>
                    <m:rPr/>
                    <m:t>c</m:t>
                  </m:r>
                </m:sup>
              </m:sSubSup>
            </m:oMath>
          </w:p>
        </w:tc>
        <w:tc>
          <w:p>
            <w:pPr>
              <w:pStyle w:val="Compact"/>
              <w:jc w:val="left"/>
            </w:pPr>
            <w:r>
              <w:t xml:space="preserve">Proportion of GBM acts protected with a condom</w:t>
            </w:r>
          </w:p>
        </w:tc>
        <w:tc>
          <w:p>
            <w:pPr>
              <w:pStyle w:val="Compact"/>
              <w:jc w:val="left"/>
            </w:pPr>
            <w:r>
              <w:t xml:space="preserve">0.6</w:t>
            </w:r>
          </w:p>
        </w:tc>
        <w:tc>
          <w:p>
            <w:pPr>
              <w:pStyle w:val="Compact"/>
              <w:jc w:val="left"/>
            </w:pPr>
            <w:r>
              <w:t xml:space="preserve">[0.5 - 0.7]</w:t>
            </w:r>
          </w:p>
        </w:tc>
        <w:tc>
          <w:p>
            <w:pPr>
              <w:pStyle w:val="Compact"/>
              <w:jc w:val="left"/>
            </w:pPr>
            <w:r>
              <w:t xml:space="preserve">6</w:t>
            </w:r>
          </w:p>
        </w:tc>
      </w:tr>
      <w:tr>
        <w:tc>
          <w:p>
            <w:pPr>
              <w:pStyle w:val="Compact"/>
              <w:jc w:val="left"/>
            </w:pPr>
            <w:r>
              <w:rPr>
                <w:b/>
              </w:rPr>
              <w:t xml:space="preserve">HIV transmission paramaters</w:t>
            </w:r>
          </w:p>
        </w:tc>
        <w:tc>
          <w:p/>
        </w:tc>
        <w:tc>
          <w:p/>
        </w:tc>
        <w:tc>
          <w:p/>
        </w:tc>
      </w:tr>
      <w:tr>
        <w:tc>
          <w:p>
            <w:pPr>
              <w:pStyle w:val="Compact"/>
              <w:jc w:val="left"/>
            </w:pPr>
            <m:oMath>
              <m:sSub>
                <m:e>
                  <m:r>
                    <m:rPr/>
                    <m:t>β</m:t>
                  </m:r>
                </m:e>
                <m:sub>
                  <m:r>
                    <m:rPr/>
                    <m:t>f</m:t>
                  </m:r>
                </m:sub>
              </m:sSub>
            </m:oMath>
          </w:p>
        </w:tc>
        <w:tc>
          <w:p>
            <w:pPr>
              <w:pStyle w:val="Compact"/>
              <w:jc w:val="left"/>
            </w:pPr>
            <w:r>
              <w:t xml:space="preserve">Per act transmission probability from females to males</w:t>
            </w:r>
          </w:p>
        </w:tc>
        <w:tc>
          <w:p>
            <w:pPr>
              <w:pStyle w:val="Compact"/>
              <w:jc w:val="left"/>
            </w:pPr>
            <w:r>
              <w:t xml:space="preserve">4</w:t>
            </w:r>
            <w:r>
              <w:t xml:space="preserve">10^{-4}</w:t>
            </w:r>
          </w:p>
        </w:tc>
        <w:tc>
          <w:p>
            <w:pPr>
              <w:pStyle w:val="Compact"/>
              <w:jc w:val="left"/>
            </w:pPr>
            <w:r>
              <w:t xml:space="preserve">[10^{-4} - 0.0014]</w:t>
            </w:r>
          </w:p>
        </w:tc>
        <w:tc>
          <w:p>
            <w:pPr>
              <w:pStyle w:val="Compact"/>
              <w:jc w:val="left"/>
            </w:pPr>
            <w:r>
              <w:t xml:space="preserve">7</w:t>
            </w:r>
          </w:p>
        </w:tc>
      </w:tr>
      <w:tr>
        <w:tc>
          <w:p>
            <w:pPr>
              <w:pStyle w:val="Compact"/>
              <w:jc w:val="left"/>
            </w:pPr>
            <m:oMath>
              <m:sSub>
                <m:e>
                  <m:r>
                    <m:rPr/>
                    <m:t>β</m:t>
                  </m:r>
                </m:e>
                <m:sub>
                  <m:r>
                    <m:rPr/>
                    <m:t>m</m:t>
                  </m:r>
                </m:sub>
              </m:sSub>
            </m:oMath>
          </w:p>
        </w:tc>
        <w:tc>
          <w:p>
            <w:pPr>
              <w:pStyle w:val="Compact"/>
              <w:jc w:val="left"/>
            </w:pPr>
            <w:r>
              <w:t xml:space="preserve">Per act transmission probability from males to females</w:t>
            </w:r>
          </w:p>
        </w:tc>
        <w:tc>
          <w:p>
            <w:pPr>
              <w:pStyle w:val="Compact"/>
              <w:jc w:val="left"/>
            </w:pPr>
            <w:r>
              <w:t xml:space="preserve">8</w:t>
            </w:r>
            <w:r>
              <w:t xml:space="preserve">10^{-4}</w:t>
            </w:r>
          </w:p>
        </w:tc>
        <w:tc>
          <w:p>
            <w:pPr>
              <w:pStyle w:val="Compact"/>
              <w:jc w:val="left"/>
            </w:pPr>
            <w:r>
              <w:t xml:space="preserve">[6</w:t>
            </w:r>
            <w:r>
              <w:t xml:space="preserve">10^{-4} - 0.0011]</w:t>
            </w:r>
          </w:p>
        </w:tc>
        <w:tc>
          <w:p>
            <w:pPr>
              <w:pStyle w:val="Compact"/>
              <w:jc w:val="left"/>
            </w:pPr>
            <w:r>
              <w:t xml:space="preserve">7</w:t>
            </w:r>
          </w:p>
        </w:tc>
      </w:tr>
      <w:tr>
        <w:tc>
          <w:p>
            <w:pPr>
              <w:pStyle w:val="Compact"/>
              <w:jc w:val="left"/>
            </w:pPr>
            <m:oMath>
              <m:sSub>
                <m:e>
                  <m:r>
                    <m:rPr/>
                    <m:t>β</m:t>
                  </m:r>
                </m:e>
                <m:sub>
                  <m:r>
                    <m:rPr/>
                    <m:t>g</m:t>
                  </m:r>
                </m:sub>
              </m:sSub>
            </m:oMath>
          </w:p>
        </w:tc>
        <w:tc>
          <w:p>
            <w:pPr>
              <w:pStyle w:val="Compact"/>
              <w:jc w:val="left"/>
            </w:pPr>
            <w:r>
              <w:t xml:space="preserve">Per act transmission probability between GBM</w:t>
            </w:r>
          </w:p>
        </w:tc>
        <w:tc>
          <w:p>
            <w:pPr>
              <w:pStyle w:val="Compact"/>
              <w:jc w:val="left"/>
            </w:pPr>
            <w:r>
              <w:t xml:space="preserve">0.014</w:t>
            </w:r>
          </w:p>
        </w:tc>
        <w:tc>
          <w:p>
            <w:pPr>
              <w:pStyle w:val="Compact"/>
              <w:jc w:val="left"/>
            </w:pPr>
            <w:r>
              <w:t xml:space="preserve">[0.01 - 0.019]</w:t>
            </w:r>
          </w:p>
        </w:tc>
        <w:tc>
          <w:p>
            <w:pPr>
              <w:pStyle w:val="Compact"/>
              <w:jc w:val="left"/>
            </w:pPr>
            <w:r>
              <w:t xml:space="preserve">8</w:t>
            </w:r>
          </w:p>
        </w:tc>
      </w:tr>
      <w:tr>
        <w:tc>
          <w:p>
            <w:pPr>
              <w:pStyle w:val="Compact"/>
              <w:jc w:val="left"/>
            </w:pPr>
            <m:oMath>
              <m:sSub>
                <m:e>
                  <m:r>
                    <m:rPr/>
                    <m:t>ε</m:t>
                  </m:r>
                </m:e>
                <m:sub>
                  <m:r>
                    <m:rPr/>
                    <m:t>c</m:t>
                  </m:r>
                </m:sub>
              </m:sSub>
            </m:oMath>
          </w:p>
        </w:tc>
        <w:tc>
          <w:p>
            <w:pPr>
              <w:pStyle w:val="Compact"/>
              <w:jc w:val="left"/>
            </w:pPr>
            <w:r>
              <w:t xml:space="preserve">Efficacy of condoms</w:t>
            </w:r>
          </w:p>
        </w:tc>
        <w:tc>
          <w:p>
            <w:pPr>
              <w:pStyle w:val="Compact"/>
              <w:jc w:val="left"/>
            </w:pPr>
            <w:r>
              <w:t xml:space="preserve">0.9</w:t>
            </w:r>
          </w:p>
        </w:tc>
        <w:tc>
          <w:p>
            <w:pPr>
              <w:pStyle w:val="Compact"/>
              <w:jc w:val="left"/>
            </w:pPr>
            <w:r>
              <w:t xml:space="preserve">[0.8 - 0.975]</w:t>
            </w:r>
          </w:p>
        </w:tc>
        <w:tc>
          <w:p>
            <w:pPr>
              <w:pStyle w:val="Compact"/>
              <w:jc w:val="left"/>
            </w:pPr>
            <w:r>
              <w:t xml:space="preserve">9</w:t>
            </w:r>
          </w:p>
        </w:tc>
      </w:tr>
      <w:tr>
        <w:tc>
          <w:p>
            <w:pPr>
              <w:pStyle w:val="Compact"/>
              <w:jc w:val="left"/>
            </w:pPr>
            <m:oMath>
              <m:sSub>
                <m:e>
                  <m:r>
                    <m:rPr/>
                    <m:t>ε</m:t>
                  </m:r>
                </m:e>
                <m:sub>
                  <m:r>
                    <m:rPr/>
                    <m:t>A</m:t>
                  </m:r>
                  <m:r>
                    <m:rPr/>
                    <m:t>R</m:t>
                  </m:r>
                  <m:r>
                    <m:rPr/>
                    <m:t>T</m:t>
                  </m:r>
                </m:sub>
              </m:sSub>
            </m:oMath>
          </w:p>
        </w:tc>
        <w:tc>
          <w:p>
            <w:pPr>
              <w:pStyle w:val="Compact"/>
              <w:jc w:val="left"/>
            </w:pPr>
            <w:r>
              <w:t xml:space="preserve">Efficacy of ART in preventing HIV transmission if virus is suppressed</w:t>
            </w:r>
          </w:p>
        </w:tc>
        <w:tc>
          <w:p>
            <w:pPr>
              <w:pStyle w:val="Compact"/>
              <w:jc w:val="left"/>
            </w:pPr>
            <w:r>
              <w:t xml:space="preserve">0.7</w:t>
            </w:r>
          </w:p>
        </w:tc>
        <w:tc>
          <w:p>
            <w:pPr>
              <w:pStyle w:val="Compact"/>
              <w:jc w:val="left"/>
            </w:pPr>
            <w:r>
              <w:t xml:space="preserve">[0.5 - 0.9]</w:t>
            </w:r>
          </w:p>
        </w:tc>
        <w:tc>
          <w:p>
            <w:pPr>
              <w:pStyle w:val="Compact"/>
              <w:jc w:val="left"/>
            </w:pPr>
            <w:r>
              <w:t xml:space="preserve">10</w:t>
            </w:r>
          </w:p>
        </w:tc>
      </w:tr>
      <w:tr>
        <w:tc>
          <w:p>
            <w:pPr>
              <w:pStyle w:val="Compact"/>
              <w:jc w:val="left"/>
            </w:pPr>
            <w:r>
              <w:rPr>
                <w:b/>
              </w:rPr>
              <w:t xml:space="preserve">Healthcare costs</w:t>
            </w:r>
          </w:p>
        </w:tc>
        <w:tc>
          <w:p/>
        </w:tc>
        <w:tc>
          <w:p/>
        </w:tc>
        <w:tc>
          <w:p/>
        </w:tc>
      </w:tr>
      <w:tr>
        <w:tc>
          <w:p>
            <w:pPr>
              <w:pStyle w:val="Compact"/>
              <w:jc w:val="left"/>
            </w:pPr>
            <m:oMath>
              <m:sSub>
                <m:e>
                  <m:r>
                    <m:rPr/>
                    <m:t>c</m:t>
                  </m:r>
                </m:e>
                <m:sub>
                  <m:r>
                    <m:rPr/>
                    <m:t>c</m:t>
                  </m:r>
                  <m:r>
                    <m:rPr/>
                    <m:t>a</m:t>
                  </m:r>
                  <m:r>
                    <m:rPr/>
                    <m:t>r</m:t>
                  </m:r>
                  <m:r>
                    <m:rPr/>
                    <m:t>e</m:t>
                  </m:r>
                </m:sub>
              </m:sSub>
            </m:oMath>
          </w:p>
        </w:tc>
        <w:tc>
          <w:p>
            <w:pPr>
              <w:pStyle w:val="Compact"/>
              <w:jc w:val="left"/>
            </w:pPr>
            <w:r>
              <w:t xml:space="preserve">Average annual healthcare for cost for PLHIV</w:t>
            </w:r>
          </w:p>
        </w:tc>
        <w:tc>
          <w:p>
            <w:pPr>
              <w:pStyle w:val="Compact"/>
              <w:jc w:val="left"/>
            </w:pPr>
            <w:r>
              <w:t xml:space="preserve">0</w:t>
            </w:r>
          </w:p>
        </w:tc>
        <w:tc>
          <w:p>
            <w:pPr>
              <w:pStyle w:val="Compact"/>
              <w:jc w:val="left"/>
            </w:pPr>
            <w:r>
              <w:t xml:space="preserve">[0 - 0]</w:t>
            </w:r>
          </w:p>
        </w:tc>
        <w:tc>
          <w:p>
            <w:pPr>
              <w:pStyle w:val="Compact"/>
              <w:jc w:val="left"/>
            </w:pPr>
            <w:r>
              <w:t xml:space="preserve">11</w:t>
            </w:r>
          </w:p>
        </w:tc>
      </w:tr>
      <w:tr>
        <w:tc>
          <w:p>
            <w:pPr>
              <w:pStyle w:val="Compact"/>
              <w:jc w:val="left"/>
            </w:pPr>
            <m:oMath>
              <m:sSub>
                <m:e>
                  <m:r>
                    <m:rPr/>
                    <m:t>c</m:t>
                  </m:r>
                </m:e>
                <m:sub>
                  <m:r>
                    <m:rPr/>
                    <m:t>A</m:t>
                  </m:r>
                  <m:r>
                    <m:rPr/>
                    <m:t>R</m:t>
                  </m:r>
                  <m:r>
                    <m:rPr/>
                    <m:t>T</m:t>
                  </m:r>
                </m:sub>
              </m:sSub>
            </m:oMath>
          </w:p>
        </w:tc>
        <w:tc>
          <w:p>
            <w:pPr>
              <w:pStyle w:val="Compact"/>
              <w:jc w:val="left"/>
            </w:pPr>
            <w:r>
              <w:t xml:space="preserve">Avergae annual cost of providing ART</w:t>
            </w:r>
          </w:p>
        </w:tc>
        <w:tc>
          <w:p>
            <w:pPr>
              <w:pStyle w:val="Compact"/>
              <w:jc w:val="left"/>
            </w:pPr>
            <w:r>
              <w:t xml:space="preserve">0</w:t>
            </w:r>
          </w:p>
        </w:tc>
        <w:tc>
          <w:p>
            <w:pPr>
              <w:pStyle w:val="Compact"/>
              <w:jc w:val="left"/>
            </w:pPr>
            <w:r>
              <w:t xml:space="preserve">[0 - 0]</w:t>
            </w:r>
          </w:p>
        </w:tc>
        <w:tc>
          <w:p>
            <w:pPr>
              <w:pStyle w:val="Compact"/>
              <w:jc w:val="left"/>
            </w:pPr>
            <w:r>
              <w:t xml:space="preserve">11</w:t>
            </w:r>
          </w:p>
        </w:tc>
      </w:tr>
      <w:tr>
        <w:tc>
          <w:p>
            <w:pPr>
              <w:pStyle w:val="Compact"/>
              <w:jc w:val="left"/>
            </w:pPr>
            <m:oMath>
              <m:sSub>
                <m:e>
                  <m:r>
                    <m:rPr/>
                    <m:t>c</m:t>
                  </m:r>
                </m:e>
                <m:sub>
                  <m:r>
                    <m:rPr/>
                    <m:t>l</m:t>
                  </m:r>
                  <m:r>
                    <m:rPr/>
                    <m:t>i</m:t>
                  </m:r>
                  <m:r>
                    <m:rPr/>
                    <m:t>f</m:t>
                  </m:r>
                  <m:r>
                    <m:rPr/>
                    <m:t>e</m:t>
                  </m:r>
                </m:sub>
              </m:sSub>
            </m:oMath>
          </w:p>
        </w:tc>
        <w:tc>
          <w:p>
            <w:pPr>
              <w:pStyle w:val="Compact"/>
              <w:jc w:val="left"/>
            </w:pPr>
            <w:r>
              <w:t xml:space="preserve">Average lifetime cost of providing healthcare (including ART) post infection</w:t>
            </w:r>
          </w:p>
        </w:tc>
        <w:tc>
          <w:p>
            <w:pPr>
              <w:pStyle w:val="Compact"/>
              <w:jc w:val="left"/>
            </w:pPr>
            <w:r>
              <w:t xml:space="preserve">0</w:t>
            </w:r>
          </w:p>
        </w:tc>
        <w:tc>
          <w:p>
            <w:pPr>
              <w:pStyle w:val="Compact"/>
              <w:jc w:val="left"/>
            </w:pPr>
            <w:r>
              <w:t xml:space="preserve">[0 - 0]</w:t>
            </w:r>
          </w:p>
        </w:tc>
        <w:tc>
          <w:p>
            <w:pPr>
              <w:pStyle w:val="Compact"/>
              <w:jc w:val="left"/>
            </w:pPr>
            <w:r>
              <w:t xml:space="preserve">12</w:t>
            </w:r>
          </w:p>
        </w:tc>
      </w:tr>
    </w:tbl>
    <w:p>
      <w:pPr>
        <w:pStyle w:val="Compact"/>
        <w:numPr>
          <w:numId w:val="3"/>
          <w:ilvl w:val="0"/>
        </w:numPr>
      </w:pPr>
      <w:r>
        <w:t xml:space="preserve">[1]</w:t>
      </w:r>
      <w:r>
        <w:br w:type="textWrapping"/>
      </w:r>
    </w:p>
    <w:p>
      <w:r>
        <w:t xml:space="preserve">2.</w:t>
      </w:r>
      <w:r>
        <w:br w:type="textWrapping"/>
      </w:r>
      <w:r>
        <w:t xml:space="preserve">3.</w:t>
      </w:r>
      <w:r>
        <w:br w:type="textWrapping"/>
      </w:r>
      <w:r>
        <w:t xml:space="preserve">4.</w:t>
      </w:r>
      <w:r>
        <w:br w:type="textWrapping"/>
      </w:r>
      <w:r>
        <w:t xml:space="preserve">5.</w:t>
      </w:r>
      <w:r>
        <w:br w:type="textWrapping"/>
      </w:r>
      <w:r>
        <w:t xml:space="preserve">6.</w:t>
      </w:r>
      <w:r>
        <w:br w:type="textWrapping"/>
      </w:r>
      <w:r>
        <w:t xml:space="preserve">7.</w:t>
      </w:r>
      <w:r>
        <w:br w:type="textWrapping"/>
      </w:r>
      <w:r>
        <w:t xml:space="preserve">8.</w:t>
      </w:r>
      <w:r>
        <w:br w:type="textWrapping"/>
      </w:r>
      <w:r>
        <w:t xml:space="preserve">9.</w:t>
      </w:r>
      <w:r>
        <w:br w:type="textWrapping"/>
      </w:r>
      <w:r>
        <w:t xml:space="preserve">10.</w:t>
      </w:r>
      <w:r>
        <w:br w:type="textWrapping"/>
      </w:r>
      <w:r>
        <w:t xml:space="preserve">11.</w:t>
      </w:r>
    </w:p>
    <w:bookmarkStart w:id="27" w:name="calculations-for-new-infections-and-costs"/>
    <w:p>
      <w:pPr>
        <w:pStyle w:val="Heading4"/>
      </w:pPr>
      <w:r>
        <w:t xml:space="preserve">Calculations for new infections and costs</w:t>
      </w:r>
    </w:p>
    <w:bookmarkEnd w:id="27"/>
    <w:p>
      <w:r>
        <w:t xml:space="preserve">The overall number of new infections per year is calculated by summing the number of new infections caused by each population group; i.e.,</w:t>
      </w:r>
    </w:p>
    <w:p>
      <m:oMathPara>
        <m:oMathParaPr>
          <m:jc m:val="center"/>
        </m:oMathParaPr>
        <m:oMath>
          <m:r>
            <m:rPr/>
            <m:t>I</m:t>
          </m:r>
          <m:r>
            <m:rPr/>
            <m:t>(</m:t>
          </m:r>
          <m:r>
            <m:rPr/>
            <m:t>y</m:t>
          </m:r>
          <m:r>
            <m:rPr/>
            <m:t>)</m:t>
          </m:r>
          <m:r>
            <m:rPr/>
            <m:t>=</m:t>
          </m:r>
          <m:sSub>
            <m:e>
              <m:r>
                <m:rPr/>
                <m:t>I</m:t>
              </m:r>
            </m:e>
            <m:sub>
              <m:r>
                <m:rPr/>
                <m:t>f</m:t>
              </m:r>
            </m:sub>
          </m:sSub>
          <m:r>
            <m:rPr/>
            <m:t>(</m:t>
          </m:r>
          <m:r>
            <m:rPr/>
            <m:t>y</m:t>
          </m:r>
          <m:r>
            <m:rPr/>
            <m:t>)</m:t>
          </m:r>
          <m:r>
            <m:rPr/>
            <m:t>+</m:t>
          </m:r>
          <m:sSub>
            <m:e>
              <m:r>
                <m:rPr/>
                <m:t>I</m:t>
              </m:r>
            </m:e>
            <m:sub>
              <m:r>
                <m:rPr/>
                <m:t>m</m:t>
              </m:r>
            </m:sub>
          </m:sSub>
          <m:r>
            <m:rPr/>
            <m:t>(</m:t>
          </m:r>
          <m:r>
            <m:rPr/>
            <m:t>y</m:t>
          </m:r>
          <m:r>
            <m:rPr/>
            <m:t>)</m:t>
          </m:r>
          <m:r>
            <m:rPr/>
            <m:t>+</m:t>
          </m:r>
          <m:sSub>
            <m:e>
              <m:r>
                <m:rPr/>
                <m:t>I</m:t>
              </m:r>
            </m:e>
            <m:sub>
              <m:r>
                <m:rPr/>
                <m:t>g</m:t>
              </m:r>
            </m:sub>
          </m:sSub>
          <m:r>
            <m:rPr/>
            <m:t>(</m:t>
          </m:r>
          <m:r>
            <m:rPr/>
            <m:t>y</m:t>
          </m:r>
          <m:r>
            <m:rPr/>
            <m:t>)</m:t>
          </m:r>
          <m:r>
            <m:rPr/>
            <m:t>,</m:t>
          </m:r>
        </m:oMath>
      </m:oMathPara>
    </w:p>
    <w:p>
      <w:r>
        <w:t xml:space="preserve">where</w:t>
      </w:r>
      <w:r>
        <w:t xml:space="preserve"> </w:t>
      </w:r>
      <m:oMath>
        <m:r>
          <m:rPr/>
          <m:t>y</m:t>
        </m:r>
      </m:oMath>
      <w:r>
        <w:t xml:space="preserve"> </w:t>
      </w:r>
      <w:r>
        <w:t xml:space="preserve">is the given year.</w:t>
      </w:r>
    </w:p>
    <w:p>
      <w:r>
        <w:t xml:space="preserve">Letting the index</w:t>
      </w:r>
      <w:r>
        <w:t xml:space="preserve"> </w:t>
      </w:r>
      <m:oMath>
        <m:r>
          <m:rPr/>
          <m:t>x</m:t>
        </m:r>
      </m:oMath>
      <w:r>
        <w:t xml:space="preserve"> </w:t>
      </w:r>
      <w:r>
        <w:t xml:space="preserve">represent one of the populations groups (and droping</w:t>
      </w:r>
      <w:r>
        <w:t xml:space="preserve"> </w:t>
      </w:r>
      <m:oMath>
        <m:r>
          <m:rPr/>
          <m:t>y</m:t>
        </m:r>
      </m:oMath>
      <w:r>
        <w:t xml:space="preserve"> </w:t>
      </w:r>
      <w:r>
        <w:t xml:space="preserve">for the time being), the probability of HIV transmission without ART is given by</w:t>
      </w:r>
    </w:p>
    <w:p>
      <m:oMathPara>
        <m:oMathParaPr>
          <m:jc m:val="center"/>
        </m:oMathParaPr>
        <m:oMath>
          <m:r>
            <m:rPr/>
            <m:t>β</m:t>
          </m:r>
          <m:sSub>
            <m:e>
              <m:r>
                <m:rPr/>
                <m:t>ʹ</m:t>
              </m:r>
            </m:e>
            <m:sub>
              <m:r>
                <m:rPr/>
                <m:t>x</m:t>
              </m:r>
            </m:sub>
          </m:sSub>
          <m:r>
            <m:rPr/>
            <m:t>=</m:t>
          </m:r>
          <m:sSub>
            <m:e>
              <m:r>
                <m:rPr/>
                <m:t>a</m:t>
              </m:r>
            </m:e>
            <m:sub>
              <m:r>
                <m:rPr/>
                <m:t>x</m:t>
              </m:r>
            </m:sub>
          </m:sSub>
          <m:r>
            <m:rPr/>
            <m:t>(</m:t>
          </m:r>
          <m:r>
            <m:rPr/>
            <m:t>1</m:t>
          </m:r>
          <m:r>
            <m:rPr/>
            <m:t>−</m:t>
          </m:r>
          <m:sSubSup>
            <m:e>
              <m:r>
                <m:rPr/>
                <m:t>p</m:t>
              </m:r>
            </m:e>
            <m:sub>
              <m:r>
                <m:rPr/>
                <m:t>x</m:t>
              </m:r>
            </m:sub>
            <m:sup>
              <m:r>
                <m:rPr/>
                <m:t>c</m:t>
              </m:r>
            </m:sup>
          </m:sSubSup>
          <m:r>
            <m:rPr/>
            <m:t>)</m:t>
          </m:r>
          <m:sSub>
            <m:e>
              <m:r>
                <m:rPr/>
                <m:t>β</m:t>
              </m:r>
            </m:e>
            <m:sub>
              <m:r>
                <m:rPr/>
                <m:t>x</m:t>
              </m:r>
            </m:sub>
          </m:sSub>
          <m:r>
            <m:rPr/>
            <m:t>+</m:t>
          </m:r>
          <m:sSub>
            <m:e>
              <m:r>
                <m:rPr/>
                <m:t>a</m:t>
              </m:r>
            </m:e>
            <m:sub>
              <m:r>
                <m:rPr/>
                <m:t>x</m:t>
              </m:r>
            </m:sub>
          </m:sSub>
          <m:sSubSup>
            <m:e>
              <m:r>
                <m:rPr/>
                <m:t>p</m:t>
              </m:r>
            </m:e>
            <m:sub>
              <m:r>
                <m:rPr/>
                <m:t>x</m:t>
              </m:r>
            </m:sub>
            <m:sup>
              <m:r>
                <m:rPr/>
                <m:t>c</m:t>
              </m:r>
            </m:sup>
          </m:sSubSup>
          <m:r>
            <m:rPr/>
            <m:t>(</m:t>
          </m:r>
          <m:r>
            <m:rPr/>
            <m:t>1</m:t>
          </m:r>
          <m:r>
            <m:rPr/>
            <m:t>−</m:t>
          </m:r>
          <m:sSub>
            <m:e>
              <m:r>
                <m:rPr/>
                <m:t>ε</m:t>
              </m:r>
            </m:e>
            <m:sub>
              <m:r>
                <m:rPr/>
                <m:t>c</m:t>
              </m:r>
            </m:sub>
          </m:sSub>
          <m:r>
            <m:rPr/>
            <m:t>)</m:t>
          </m:r>
          <m:sSub>
            <m:e>
              <m:r>
                <m:rPr/>
                <m:t>β</m:t>
              </m:r>
            </m:e>
            <m:sub>
              <m:r>
                <m:rPr/>
                <m:t>x</m:t>
              </m:r>
            </m:sub>
          </m:sSub>
        </m:oMath>
      </m:oMathPara>
    </w:p>
    <w:p>
      <w:r>
        <w:t xml:space="preserve">or</w:t>
      </w:r>
    </w:p>
    <w:p>
      <m:oMathPara>
        <m:oMathParaPr>
          <m:jc m:val="center"/>
        </m:oMathParaPr>
        <m:oMath>
          <m:r>
            <m:rPr/>
            <m:t>β</m:t>
          </m:r>
          <m:sSub>
            <m:e>
              <m:r>
                <m:rPr/>
                <m:t>ʹ</m:t>
              </m:r>
            </m:e>
            <m:sub>
              <m:r>
                <m:rPr/>
                <m:t>x</m:t>
              </m:r>
            </m:sub>
          </m:sSub>
          <m:r>
            <m:rPr/>
            <m:t>=</m:t>
          </m:r>
          <m:sSub>
            <m:e>
              <m:r>
                <m:rPr/>
                <m:t>a</m:t>
              </m:r>
            </m:e>
            <m:sub>
              <m:r>
                <m:rPr/>
                <m:t>x</m:t>
              </m:r>
            </m:sub>
          </m:sSub>
          <m:r>
            <m:rPr/>
            <m:t>(</m:t>
          </m:r>
          <m:r>
            <m:rPr/>
            <m:t>1</m:t>
          </m:r>
          <m:r>
            <m:rPr/>
            <m:t>−</m:t>
          </m:r>
          <m:sSubSup>
            <m:e>
              <m:r>
                <m:rPr/>
                <m:t>p</m:t>
              </m:r>
            </m:e>
            <m:sub>
              <m:r>
                <m:rPr/>
                <m:t>x</m:t>
              </m:r>
            </m:sub>
            <m:sup>
              <m:r>
                <m:rPr/>
                <m:t>c</m:t>
              </m:r>
            </m:sup>
          </m:sSubSup>
          <m:sSub>
            <m:e>
              <m:r>
                <m:rPr/>
                <m:t>ε</m:t>
              </m:r>
            </m:e>
            <m:sub>
              <m:r>
                <m:rPr/>
                <m:t>x</m:t>
              </m:r>
            </m:sub>
          </m:sSub>
          <m:r>
            <m:rPr/>
            <m:t>)</m:t>
          </m:r>
          <m:sSub>
            <m:e>
              <m:r>
                <m:rPr/>
                <m:t>β</m:t>
              </m:r>
            </m:e>
            <m:sub>
              <m:r>
                <m:rPr/>
                <m:t>x</m:t>
              </m:r>
            </m:sub>
          </m:sSub>
          <m:r>
            <m:rPr/>
            <m:t>.</m:t>
          </m:r>
        </m:oMath>
      </m:oMathPara>
    </w:p>
    <w:p>
      <w:r>
        <w:t xml:space="preserve">For</w:t>
      </w:r>
      <w:r>
        <w:t xml:space="preserve"> </w:t>
      </w:r>
      <m:oMath>
        <m:r>
          <m:rPr/>
          <m:t>x</m:t>
        </m:r>
        <m:r>
          <m:rPr/>
          <m:t>=</m:t>
        </m:r>
        <m:r>
          <m:rPr/>
          <m:t>f</m:t>
        </m:r>
      </m:oMath>
      <w:r>
        <w:t xml:space="preserve">,</w:t>
      </w:r>
      <w:r>
        <w:t xml:space="preserve"> </w:t>
      </w:r>
      <m:oMath>
        <m:r>
          <m:rPr/>
          <m:t>m</m:t>
        </m:r>
      </m:oMath>
      <w:r>
        <w:t xml:space="preserve"> </w:t>
      </w:r>
      <w:r>
        <w:t xml:space="preserve">the number of acts and condom use are equal and given by the index</w:t>
      </w:r>
      <w:r>
        <w:t xml:space="preserve"> </w:t>
      </w:r>
      <m:oMath>
        <m:r>
          <m:rPr/>
          <m:t>h</m:t>
        </m:r>
      </m:oMath>
      <w:r>
        <w:t xml:space="preserve">. Similarly we can incorporate the prevention effects of treatment and suppressed virus. For a given population,</w:t>
      </w:r>
    </w:p>
    <w:p>
      <m:oMathPara>
        <m:oMathParaPr>
          <m:jc m:val="center"/>
        </m:oMathParaPr>
        <m:oMath>
          <m:sSub>
            <m:e>
              <m:r>
                <m:rPr/>
                <m:t>I</m:t>
              </m:r>
            </m:e>
            <m:sub>
              <m:r>
                <m:rPr/>
                <m:t>x</m:t>
              </m:r>
            </m:sub>
          </m:sSub>
          <m:r>
            <m:rPr/>
            <m:t>=</m:t>
          </m:r>
          <m:r>
            <m:rPr/>
            <m:t>N</m:t>
          </m:r>
          <m:sSub>
            <m:e>
              <m:r>
                <m:rPr/>
                <m:t>p</m:t>
              </m:r>
            </m:e>
            <m:sub>
              <m:r>
                <m:rPr/>
                <m:t>x</m:t>
              </m:r>
            </m:sub>
          </m:sSub>
          <m:r>
            <m:rPr/>
            <m:t>[</m:t>
          </m:r>
          <m:r>
            <m:rPr/>
            <m:t>(</m:t>
          </m:r>
          <m:r>
            <m:rPr/>
            <m:t>1</m:t>
          </m:r>
          <m:r>
            <m:rPr/>
            <m:t>−</m:t>
          </m:r>
          <m:r>
            <m:rPr/>
            <m:t>θ</m:t>
          </m:r>
          <m:r>
            <m:rPr/>
            <m:t>)</m:t>
          </m:r>
          <m:r>
            <m:rPr/>
            <m:t>β</m:t>
          </m:r>
          <m:sSub>
            <m:e>
              <m:r>
                <m:rPr/>
                <m:t>ʹ</m:t>
              </m:r>
            </m:e>
            <m:sub>
              <m:r>
                <m:rPr/>
                <m:t>x</m:t>
              </m:r>
            </m:sub>
          </m:sSub>
          <m:r>
            <m:rPr/>
            <m:t>+</m:t>
          </m:r>
          <m:r>
            <m:rPr/>
            <m:t>θ</m:t>
          </m:r>
          <m:r>
            <m:rPr/>
            <m:t>(</m:t>
          </m:r>
          <m:r>
            <m:rPr/>
            <m:t>1</m:t>
          </m:r>
          <m:r>
            <m:rPr/>
            <m:t>−</m:t>
          </m:r>
          <m:r>
            <m:rPr/>
            <m:t>ψ</m:t>
          </m:r>
          <m:r>
            <m:rPr/>
            <m:t>)</m:t>
          </m:r>
          <m:r>
            <m:rPr/>
            <m:t>β</m:t>
          </m:r>
          <m:sSub>
            <m:e>
              <m:r>
                <m:rPr/>
                <m:t>ʹ</m:t>
              </m:r>
            </m:e>
            <m:sub>
              <m:r>
                <m:rPr/>
                <m:t>x</m:t>
              </m:r>
            </m:sub>
          </m:sSub>
          <m:r>
            <m:rPr/>
            <m:t>+</m:t>
          </m:r>
          <m:r>
            <m:rPr/>
            <m:t>θ</m:t>
          </m:r>
          <m:r>
            <m:rPr/>
            <m:t>ψ</m:t>
          </m:r>
          <m:r>
            <m:rPr/>
            <m:t>(</m:t>
          </m:r>
          <m:r>
            <m:rPr/>
            <m:t>1</m:t>
          </m:r>
          <m:r>
            <m:rPr/>
            <m:t>−</m:t>
          </m:r>
          <m:sSub>
            <m:e>
              <m:r>
                <m:rPr/>
                <m:t>ε</m:t>
              </m:r>
            </m:e>
            <m:sub>
              <m:r>
                <m:rPr/>
                <m:t>A</m:t>
              </m:r>
              <m:r>
                <m:rPr/>
                <m:t>R</m:t>
              </m:r>
              <m:r>
                <m:rPr/>
                <m:t>T</m:t>
              </m:r>
            </m:sub>
          </m:sSub>
          <m:r>
            <m:rPr/>
            <m:t>)</m:t>
          </m:r>
          <m:r>
            <m:rPr/>
            <m:t>β</m:t>
          </m:r>
          <m:sSub>
            <m:e>
              <m:r>
                <m:rPr/>
                <m:t>ʹ</m:t>
              </m:r>
            </m:e>
            <m:sub>
              <m:r>
                <m:rPr/>
                <m:t>x</m:t>
              </m:r>
            </m:sub>
          </m:sSub>
          <m:r>
            <m:rPr/>
            <m:t>]</m:t>
          </m:r>
        </m:oMath>
      </m:oMathPara>
    </w:p>
    <w:p>
      <w:r>
        <w:t xml:space="preserve">as ineffective treatment (resulting in unsuppressed virus) has the same transmission probability as no treatment. After some algebra this gives</w:t>
      </w:r>
    </w:p>
    <w:p>
      <m:oMathPara>
        <m:oMathParaPr>
          <m:jc m:val="center"/>
        </m:oMathParaPr>
        <m:oMath>
          <m:sSub>
            <m:e>
              <m:r>
                <m:rPr/>
                <m:t>I</m:t>
              </m:r>
            </m:e>
            <m:sub>
              <m:r>
                <m:rPr/>
                <m:t>x</m:t>
              </m:r>
            </m:sub>
          </m:sSub>
          <m:r>
            <m:rPr/>
            <m:t>=</m:t>
          </m:r>
          <m:r>
            <m:rPr/>
            <m:t>N</m:t>
          </m:r>
          <m:sSub>
            <m:e>
              <m:r>
                <m:rPr/>
                <m:t>p</m:t>
              </m:r>
            </m:e>
            <m:sub>
              <m:r>
                <m:rPr/>
                <m:t>x</m:t>
              </m:r>
            </m:sub>
          </m:sSub>
          <m:r>
            <m:rPr/>
            <m:t>(</m:t>
          </m:r>
          <m:r>
            <m:rPr/>
            <m:t>1</m:t>
          </m:r>
          <m:r>
            <m:rPr/>
            <m:t>−</m:t>
          </m:r>
          <m:r>
            <m:rPr/>
            <m:t>θ</m:t>
          </m:r>
          <m:r>
            <m:rPr/>
            <m:t>ψ</m:t>
          </m:r>
          <m:sSub>
            <m:e>
              <m:r>
                <m:rPr/>
                <m:t>ε</m:t>
              </m:r>
            </m:e>
            <m:sub>
              <m:r>
                <m:rPr/>
                <m:t>A</m:t>
              </m:r>
              <m:r>
                <m:rPr/>
                <m:t>R</m:t>
              </m:r>
              <m:r>
                <m:rPr/>
                <m:t>T</m:t>
              </m:r>
            </m:sub>
          </m:sSub>
          <m:r>
            <m:rPr/>
            <m:t>)</m:t>
          </m:r>
          <m:r>
            <m:rPr/>
            <m:t>β</m:t>
          </m:r>
          <m:sSub>
            <m:e>
              <m:r>
                <m:rPr/>
                <m:t>ʹ</m:t>
              </m:r>
            </m:e>
            <m:sub>
              <m:r>
                <m:rPr/>
                <m:t>x</m:t>
              </m:r>
            </m:sub>
          </m:sSub>
          <m:r>
            <m:rPr/>
            <m:t>.</m:t>
          </m:r>
        </m:oMath>
      </m:oMathPara>
    </w:p>
    <w:p>
      <w:r>
        <w:t xml:space="preserve">Adding all the population terms together and substituting in the equation for</w:t>
      </w:r>
      <w:r>
        <w:t xml:space="preserve"> </w:t>
      </w:r>
      <m:oMath>
        <m:r>
          <m:rPr/>
          <m:t>β</m:t>
        </m:r>
        <m:sSub>
          <m:e>
            <m:r>
              <m:rPr/>
              <m:t>ʹ</m:t>
            </m:r>
          </m:e>
          <m:sub>
            <m:r>
              <m:rPr/>
              <m:t>x</m:t>
            </m:r>
          </m:sub>
        </m:sSub>
      </m:oMath>
      <w:r>
        <w:t xml:space="preserve"> </w:t>
      </w:r>
      <w:r>
        <w:t xml:space="preserve">gives (after some algebra) the overall risk equation for the number of new infections in a given year</w:t>
      </w:r>
      <w:r>
        <w:t xml:space="preserve"> </w:t>
      </w:r>
      <m:oMath>
        <m:r>
          <m:rPr/>
          <m:t>y</m:t>
        </m:r>
      </m:oMath>
      <w:r>
        <w:t xml:space="preserve">,</w:t>
      </w:r>
    </w:p>
    <w:p>
      <m:oMathPara>
        <m:oMathParaPr>
          <m:jc m:val="center"/>
        </m:oMathParaPr>
        <m:oMath>
          <m:r>
            <m:rPr/>
            <m:t>I</m:t>
          </m:r>
          <m:r>
            <m:rPr/>
            <m:t>(</m:t>
          </m:r>
          <m:r>
            <m:rPr/>
            <m:t>y</m:t>
          </m:r>
          <m:r>
            <m:rPr/>
            <m:t>)</m:t>
          </m:r>
          <m:r>
            <m:rPr/>
            <m:t>=</m:t>
          </m:r>
          <m:r>
            <m:rPr/>
            <m:t>N</m:t>
          </m:r>
          <m:r>
            <m:rPr/>
            <m:t>(</m:t>
          </m:r>
          <m:r>
            <m:rPr/>
            <m:t>y</m:t>
          </m:r>
          <m:r>
            <m:rPr/>
            <m:t>)</m:t>
          </m:r>
          <m:r>
            <m:rPr/>
            <m:t>[</m:t>
          </m:r>
          <m:sSub>
            <m:e>
              <m:r>
                <m:rPr/>
                <m:t>a</m:t>
              </m:r>
            </m:e>
            <m:sub>
              <m:r>
                <m:rPr/>
                <m:t>h</m:t>
              </m:r>
            </m:sub>
          </m:sSub>
          <m:r>
            <m:rPr/>
            <m:t>(</m:t>
          </m:r>
          <m:r>
            <m:rPr/>
            <m:t>1</m:t>
          </m:r>
          <m:r>
            <m:rPr/>
            <m:t>−</m:t>
          </m:r>
          <m:sSubSup>
            <m:e>
              <m:r>
                <m:rPr/>
                <m:t>p</m:t>
              </m:r>
            </m:e>
            <m:sub>
              <m:r>
                <m:rPr/>
                <m:t>h</m:t>
              </m:r>
            </m:sub>
            <m:sup>
              <m:r>
                <m:rPr/>
                <m:t>c</m:t>
              </m:r>
            </m:sup>
          </m:sSubSup>
          <m:sSub>
            <m:e>
              <m:r>
                <m:rPr/>
                <m:t>ε</m:t>
              </m:r>
            </m:e>
            <m:sub>
              <m:r>
                <m:rPr/>
                <m:t>c</m:t>
              </m:r>
            </m:sub>
          </m:sSub>
          <m:r>
            <m:rPr/>
            <m:t>)</m:t>
          </m:r>
          <m:r>
            <m:rPr/>
            <m:t>(</m:t>
          </m:r>
          <m:sSub>
            <m:e>
              <m:r>
                <m:rPr/>
                <m:t>p</m:t>
              </m:r>
            </m:e>
            <m:sub>
              <m:r>
                <m:rPr/>
                <m:t>f</m:t>
              </m:r>
            </m:sub>
          </m:sSub>
          <m:sSub>
            <m:e>
              <m:r>
                <m:rPr/>
                <m:t>β</m:t>
              </m:r>
            </m:e>
            <m:sub>
              <m:r>
                <m:rPr/>
                <m:t>f</m:t>
              </m:r>
            </m:sub>
          </m:sSub>
          <m:r>
            <m:rPr/>
            <m:t>+</m:t>
          </m:r>
          <m:sSub>
            <m:e>
              <m:r>
                <m:rPr/>
                <m:t>p</m:t>
              </m:r>
            </m:e>
            <m:sub>
              <m:r>
                <m:rPr/>
                <m:t>m</m:t>
              </m:r>
            </m:sub>
          </m:sSub>
          <m:sSub>
            <m:e>
              <m:r>
                <m:rPr/>
                <m:t>β</m:t>
              </m:r>
            </m:e>
            <m:sub>
              <m:r>
                <m:rPr/>
                <m:t>m</m:t>
              </m:r>
            </m:sub>
          </m:sSub>
          <m:r>
            <m:rPr/>
            <m:t>)</m:t>
          </m:r>
          <m:r>
            <m:rPr/>
            <m:t>+</m:t>
          </m:r>
          <m:sSub>
            <m:e>
              <m:r>
                <m:rPr/>
                <m:t>a</m:t>
              </m:r>
            </m:e>
            <m:sub>
              <m:r>
                <m:rPr/>
                <m:t>g</m:t>
              </m:r>
            </m:sub>
          </m:sSub>
          <m:r>
            <m:rPr/>
            <m:t>(</m:t>
          </m:r>
          <m:r>
            <m:rPr/>
            <m:t>1</m:t>
          </m:r>
          <m:r>
            <m:rPr/>
            <m:t>−</m:t>
          </m:r>
          <m:sSubSup>
            <m:e>
              <m:r>
                <m:rPr/>
                <m:t>p</m:t>
              </m:r>
            </m:e>
            <m:sub>
              <m:r>
                <m:rPr/>
                <m:t>g</m:t>
              </m:r>
            </m:sub>
            <m:sup>
              <m:r>
                <m:rPr/>
                <m:t>c</m:t>
              </m:r>
            </m:sup>
          </m:sSubSup>
          <m:sSub>
            <m:e>
              <m:r>
                <m:rPr/>
                <m:t>ε</m:t>
              </m:r>
            </m:e>
            <m:sub>
              <m:r>
                <m:rPr/>
                <m:t>c</m:t>
              </m:r>
            </m:sub>
          </m:sSub>
          <m:r>
            <m:rPr/>
            <m:t>)</m:t>
          </m:r>
          <m:sSub>
            <m:e>
              <m:r>
                <m:rPr/>
                <m:t>p</m:t>
              </m:r>
            </m:e>
            <m:sub>
              <m:r>
                <m:rPr/>
                <m:t>g</m:t>
              </m:r>
            </m:sub>
          </m:sSub>
          <m:sSub>
            <m:e>
              <m:r>
                <m:rPr/>
                <m:t>β</m:t>
              </m:r>
            </m:e>
            <m:sub>
              <m:r>
                <m:rPr/>
                <m:t>g</m:t>
              </m:r>
            </m:sub>
          </m:sSub>
          <m:r>
            <m:rPr/>
            <m:t>]</m:t>
          </m:r>
          <m:r>
            <m:rPr/>
            <m:t>(</m:t>
          </m:r>
          <m:r>
            <m:rPr/>
            <m:t>1</m:t>
          </m:r>
          <m:r>
            <m:rPr/>
            <m:t>−</m:t>
          </m:r>
          <m:r>
            <m:rPr/>
            <m:t>θ</m:t>
          </m:r>
          <m:r>
            <m:rPr/>
            <m:t>(</m:t>
          </m:r>
          <m:r>
            <m:rPr/>
            <m:t>y</m:t>
          </m:r>
          <m:r>
            <m:rPr/>
            <m:t>)</m:t>
          </m:r>
          <m:r>
            <m:rPr/>
            <m:t>ψ</m:t>
          </m:r>
          <m:r>
            <m:rPr/>
            <m:t>(</m:t>
          </m:r>
          <m:r>
            <m:rPr/>
            <m:t>y</m:t>
          </m:r>
          <m:r>
            <m:rPr/>
            <m:t>)</m:t>
          </m:r>
          <m:sSub>
            <m:e>
              <m:r>
                <m:rPr/>
                <m:t>ε</m:t>
              </m:r>
            </m:e>
            <m:sub>
              <m:r>
                <m:rPr/>
                <m:t>A</m:t>
              </m:r>
              <m:r>
                <m:rPr/>
                <m:t>R</m:t>
              </m:r>
              <m:r>
                <m:rPr/>
                <m:t>T</m:t>
              </m:r>
            </m:sub>
          </m:sSub>
          <m:r>
            <m:rPr/>
            <m:t>)</m:t>
          </m:r>
          <m:r>
            <m:rPr/>
            <m:t>.</m:t>
          </m:r>
        </m:oMath>
      </m:oMathPara>
    </w:p>
    <w:p>
      <w:r>
        <w:t xml:space="preserve">The cumulative number of new infections in partners of medicare ineligibles over</w:t>
      </w:r>
      <w:r>
        <w:t xml:space="preserve"> </w:t>
      </w:r>
      <m:oMath>
        <m:r>
          <m:rPr/>
          <m:t>y</m:t>
        </m:r>
      </m:oMath>
      <w:r>
        <w:t xml:space="preserve"> </w:t>
      </w:r>
      <w:r>
        <w:t xml:space="preserve">years is then equal to</w:t>
      </w:r>
    </w:p>
    <w:p>
      <m:oMathPara>
        <m:oMathParaPr>
          <m:jc m:val="center"/>
        </m:oMathParaPr>
        <m:oMath>
          <m:r>
            <m:rPr/>
            <m:t>Σ</m:t>
          </m:r>
          <m:r>
            <m:rPr/>
            <m:t>=</m:t>
          </m:r>
          <m:nary>
            <m:naryPr>
              <m:chr m:val="∑"/>
              <m:limLoc m:val="undOvr"/>
              <m:supHide m:val="off"/>
              <m:supHide m:val="off"/>
            </m:naryPr>
            <m:e>
              <m:r>
                <m:rPr/>
                <m:t>I</m:t>
              </m:r>
            </m:e>
            <m:sub>
              <m:r>
                <m:rPr/>
                <m:t>y</m:t>
              </m:r>
              <m:r>
                <m:rPr/>
                <m:t>=</m:t>
              </m:r>
              <m:r>
                <m:rPr/>
                <m:t>1</m:t>
              </m:r>
            </m:sub>
            <m:sup>
              <m:r>
                <m:rPr/>
                <m:t>y</m:t>
              </m:r>
              <m:r>
                <m:rPr/>
                <m:t>e</m:t>
              </m:r>
              <m:r>
                <m:rPr/>
                <m:t>a</m:t>
              </m:r>
              <m:r>
                <m:rPr/>
                <m:t>r</m:t>
              </m:r>
              <m:r>
                <m:rPr/>
                <m:t>s</m:t>
              </m:r>
            </m:sup>
          </m:nary>
          <m:r>
            <m:rPr/>
            <m:t>(</m:t>
          </m:r>
          <m:r>
            <m:rPr/>
            <m:t>y</m:t>
          </m:r>
          <m:r>
            <m:rPr/>
            <m:t>)</m:t>
          </m:r>
          <m:r>
            <m:rPr/>
            <m:t>.</m:t>
          </m:r>
        </m:oMath>
      </m:oMathPara>
    </w:p>
    <w:p>
      <w:r>
        <w:t xml:space="preserve">The total cost of providing ART and healthcare to Medicare ineligibles and infected partners is then given by</w:t>
      </w:r>
    </w:p>
    <w:p>
      <m:oMathPara>
        <m:oMathParaPr>
          <m:jc m:val="center"/>
        </m:oMathParaPr>
        <m:oMath>
          <m:r>
            <m:rPr/>
            <m:t>S</m:t>
          </m:r>
          <m:r>
            <m:rPr/>
            <m:t>=</m:t>
          </m:r>
          <m:d>
            <m:dPr>
              <m:begChr m:val="["/>
              <m:endChr m:val="]"/>
              <m:grow/>
            </m:dPr>
            <m:e>
              <m:nary>
                <m:naryPr>
                  <m:chr m:val="∑"/>
                  <m:limLoc m:val="undOvr"/>
                  <m:supHide m:val="off"/>
                  <m:supHide m:val="off"/>
                </m:naryPr>
                <m:e>
                  <m:r>
                    <m:rPr/>
                    <m:t>(</m:t>
                  </m:r>
                </m:e>
                <m:sub>
                  <m:r>
                    <m:rPr/>
                    <m:t>y</m:t>
                  </m:r>
                  <m:r>
                    <m:rPr/>
                    <m:t>=</m:t>
                  </m:r>
                  <m:r>
                    <m:rPr/>
                    <m:t>1</m:t>
                  </m:r>
                </m:sub>
                <m:sup>
                  <m:r>
                    <m:rPr/>
                    <m:t>y</m:t>
                  </m:r>
                  <m:r>
                    <m:rPr/>
                    <m:t>e</m:t>
                  </m:r>
                  <m:r>
                    <m:rPr/>
                    <m:t>a</m:t>
                  </m:r>
                  <m:r>
                    <m:rPr/>
                    <m:t>r</m:t>
                  </m:r>
                  <m:r>
                    <m:rPr/>
                    <m:t>s</m:t>
                  </m:r>
                </m:sup>
              </m:nary>
              <m:r>
                <m:rPr/>
                <m:t>N</m:t>
              </m:r>
              <m:r>
                <m:rPr/>
                <m:t>(</m:t>
              </m:r>
              <m:r>
                <m:rPr/>
                <m:t>y</m:t>
              </m:r>
              <m:r>
                <m:rPr/>
                <m:t>)</m:t>
              </m:r>
              <m:r>
                <m:rPr/>
                <m:t>(</m:t>
              </m:r>
              <m:sSub>
                <m:e>
                  <m:r>
                    <m:rPr/>
                    <m:t>c</m:t>
                  </m:r>
                </m:e>
                <m:sub>
                  <m:r>
                    <m:rPr/>
                    <m:t>c</m:t>
                  </m:r>
                  <m:r>
                    <m:rPr/>
                    <m:t>a</m:t>
                  </m:r>
                  <m:r>
                    <m:rPr/>
                    <m:t>r</m:t>
                  </m:r>
                  <m:r>
                    <m:rPr/>
                    <m:t>e</m:t>
                  </m:r>
                </m:sub>
              </m:sSub>
              <m:r>
                <m:rPr/>
                <m:t>+</m:t>
              </m:r>
              <m:r>
                <m:rPr/>
                <m:t>θ</m:t>
              </m:r>
              <m:sSub>
                <m:e>
                  <m:r>
                    <m:rPr/>
                    <m:t>c</m:t>
                  </m:r>
                </m:e>
                <m:sub>
                  <m:r>
                    <m:rPr/>
                    <m:t>A</m:t>
                  </m:r>
                  <m:r>
                    <m:rPr/>
                    <m:t>R</m:t>
                  </m:r>
                  <m:r>
                    <m:rPr/>
                    <m:t>T</m:t>
                  </m:r>
                </m:sub>
              </m:sSub>
              <m:r>
                <m:rPr/>
                <m:t>)</m:t>
              </m:r>
            </m:e>
          </m:d>
          <m:r>
            <m:rPr/>
            <m:t>+</m:t>
          </m:r>
          <m:r>
            <m:rPr/>
            <m:t>Σ</m:t>
          </m:r>
          <m:sSub>
            <m:e>
              <m:r>
                <m:rPr/>
                <m:t>c</m:t>
              </m:r>
            </m:e>
            <m:sub>
              <m:r>
                <m:rPr/>
                <m:t>l</m:t>
              </m:r>
              <m:r>
                <m:rPr/>
                <m:t>i</m:t>
              </m:r>
              <m:r>
                <m:rPr/>
                <m:t>f</m:t>
              </m:r>
              <m:r>
                <m:rPr/>
                <m:t>e</m:t>
              </m:r>
            </m:sub>
          </m:sSub>
          <m:r>
            <m:rPr/>
            <m:t>.</m:t>
          </m:r>
        </m:oMath>
      </m:oMathPara>
    </w:p>
    <w:bookmarkStart w:id="28" w:name="results"/>
    <w:p>
      <w:pPr>
        <w:pStyle w:val="Heading3"/>
      </w:pPr>
      <w:r>
        <w:t xml:space="preserve">Results</w:t>
      </w:r>
    </w:p>
    <w:bookmarkEnd w:id="28"/>
    <w:p>
      <w:r>
        <w:t xml:space="preserve">Results amd figures will be generated once final methodology is finalized.</w:t>
      </w:r>
    </w:p>
    <w:p>
      <w:pPr>
        <w:pStyle w:val="SourceCode"/>
      </w:pPr>
      <w:r>
        <w:rPr>
          <w:rStyle w:val="VerbatimChar"/>
        </w:rPr>
        <w:t xml:space="preserve">## Warning: Removed 1 rows containing missing values (stat_summary).</w:t>
      </w:r>
    </w:p>
    <w:p>
      <w:pPr>
        <w:pStyle w:val="SourceCode"/>
      </w:pPr>
      <w:r>
        <w:rPr>
          <w:rStyle w:val="VerbatimChar"/>
        </w:rPr>
        <w:t xml:space="preserve">## Warning: Removed 1 rows containing missing values (stat_summary).</w:t>
      </w:r>
    </w:p>
    <w:p>
      <w:pPr>
        <w:pStyle w:val="SourceCode"/>
      </w:pPr>
      <w:r>
        <w:rPr>
          <w:rStyle w:val="VerbatimChar"/>
        </w:rPr>
        <w:t xml:space="preserve">## Warning: Removed 1 rows containing missing values (geom_path).</w:t>
      </w:r>
    </w:p>
    <w:p>
      <w:pPr>
        <w:pStyle w:val="SourceCode"/>
      </w:pPr>
      <w:r>
        <w:rPr>
          <w:rStyle w:val="VerbatimChar"/>
        </w:rPr>
        <w:t xml:space="preserve">## Warning: Removed 1 rows containing missing values (geom_path).</w:t>
      </w:r>
    </w:p>
    <w:p>
      <w:r>
        <w:drawing>
          <wp:inline>
            <wp:extent cx="3695700" cy="2768600"/>
            <wp:effectExtent b="0" l="0" r="0" t="0"/>
            <wp:docPr descr="" id="1" name="Picture"/>
            <a:graphic>
              <a:graphicData uri="http://schemas.openxmlformats.org/drawingml/2006/picture">
                <pic:pic>
                  <pic:nvPicPr>
                    <pic:cNvPr descr="Medicare_Ineligibles_files/figure-docx/insertyplots-1.png" id="0" name="Picture"/>
                    <pic:cNvPicPr>
                      <a:picLocks noChangeArrowheads="1" noChangeAspect="1"/>
                    </pic:cNvPicPr>
                  </pic:nvPicPr>
                  <pic:blipFill>
                    <a:blip r:embed="rId29"/>
                    <a:stretch>
                      <a:fillRect/>
                    </a:stretch>
                  </pic:blipFill>
                  <pic:spPr bwMode="auto">
                    <a:xfrm>
                      <a:off x="0" y="0"/>
                      <a:ext cx="3695700" cy="2768600"/>
                    </a:xfrm>
                    <a:prstGeom prst="rect">
                      <a:avLst/>
                    </a:prstGeom>
                    <a:noFill/>
                    <a:ln w="9525">
                      <a:noFill/>
                      <a:headEnd/>
                      <a:tailEnd/>
                    </a:ln>
                  </pic:spPr>
                </pic:pic>
              </a:graphicData>
            </a:graphic>
          </wp:inline>
        </w:drawing>
      </w:r>
    </w:p>
    <w:bookmarkStart w:id="30" w:name="discussion"/>
    <w:p>
      <w:pPr>
        <w:pStyle w:val="Heading3"/>
      </w:pPr>
      <w:r>
        <w:t xml:space="preserve">Discussion</w:t>
      </w:r>
    </w:p>
    <w:bookmarkEnd w:id="30"/>
    <w:bookmarkStart w:id="31" w:name="references"/>
    <w:p>
      <w:pPr>
        <w:pStyle w:val="Heading3"/>
      </w:pPr>
      <w:r>
        <w:t xml:space="preserve">References</w:t>
      </w:r>
    </w:p>
    <w:bookmarkEnd w:id="31"/>
    <w:p>
      <w:r>
        <w:t xml:space="preserve">1. Petoumenos K (2013) The australian hIV observational database temporary residents access study (aTRAS): one year follow-up.</w:t>
      </w:r>
    </w:p>
    <w:p>
      <w:r>
        <w:t xml:space="preserve">2. Schneider K, Gray RT, Wilson DP (2014) A cost-effectiveness analysis of hIV pre-exposure prophylaxis for men who have sex with men in australia. Clinical infectious diseases 58: 1027–1034.</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28df9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291958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61eb094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00F14"/>
    <w:rsid w:val="004E29B3"/>
    <w:rsid w:val="00590D07"/>
    <w:rsid w:val="00784D58"/>
    <w:rsid w:val="008D6863"/>
    <w:rsid w:val="00AA4AB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200F14"/>
    <w:pPr>
      <w:spacing w:before="180" w:after="180"/>
    </w:pPr>
    <w:rPr>
      <w:rFonts w:ascii="Arial" w:hAnsi="Arial"/>
      <w:sz w:val="22"/>
    </w:rPr>
  </w:style>
  <w:style w:type="paragraph" w:styleId="Heading1">
    <w:name w:val="heading 1"/>
    <w:basedOn w:val="Normal"/>
    <w:next w:val="Normal"/>
    <w:uiPriority w:val="9"/>
    <w:qFormat/>
    <w:rsid w:val="00200F14"/>
    <w:pPr>
      <w:keepNext/>
      <w:keepLines/>
      <w:spacing w:before="480" w:after="0"/>
      <w:outlineLvl w:val="0"/>
    </w:pPr>
    <w:rPr>
      <w:rFonts w:eastAsiaTheme="majorEastAsia" w:cstheme="majorBidi"/>
      <w:b/>
      <w:bCs/>
      <w:sz w:val="36"/>
      <w:szCs w:val="36"/>
    </w:rPr>
  </w:style>
  <w:style w:type="paragraph" w:styleId="Heading2">
    <w:name w:val="heading 2"/>
    <w:basedOn w:val="Normal"/>
    <w:next w:val="Normal"/>
    <w:uiPriority w:val="9"/>
    <w:unhideWhenUsed/>
    <w:qFormat/>
    <w:rsid w:val="00200F14"/>
    <w:pPr>
      <w:keepNext/>
      <w:keepLines/>
      <w:spacing w:before="200" w:after="0"/>
      <w:outlineLvl w:val="1"/>
    </w:pPr>
    <w:rPr>
      <w:rFonts w:eastAsiaTheme="majorEastAsia" w:cstheme="majorBidi"/>
      <w:b/>
      <w:bCs/>
      <w:sz w:val="32"/>
      <w:szCs w:val="32"/>
    </w:rPr>
  </w:style>
  <w:style w:type="paragraph" w:styleId="Heading3">
    <w:name w:val="heading 3"/>
    <w:basedOn w:val="Normal"/>
    <w:next w:val="Normal"/>
    <w:uiPriority w:val="9"/>
    <w:unhideWhenUsed/>
    <w:qFormat/>
    <w:rsid w:val="00200F14"/>
    <w:pPr>
      <w:keepNext/>
      <w:keepLines/>
      <w:spacing w:before="200" w:after="0"/>
      <w:outlineLvl w:val="2"/>
    </w:pPr>
    <w:rPr>
      <w:rFonts w:eastAsiaTheme="majorEastAsia" w:cstheme="majorBidi"/>
      <w:b/>
      <w:bCs/>
      <w:sz w:val="28"/>
      <w:szCs w:val="28"/>
    </w:rPr>
  </w:style>
  <w:style w:type="paragraph" w:styleId="Heading4">
    <w:name w:val="heading 4"/>
    <w:basedOn w:val="Normal"/>
    <w:next w:val="Normal"/>
    <w:uiPriority w:val="9"/>
    <w:unhideWhenUsed/>
    <w:qFormat/>
    <w:rsid w:val="00200F14"/>
    <w:pPr>
      <w:keepNext/>
      <w:keepLines/>
      <w:spacing w:before="200" w:after="0"/>
      <w:outlineLvl w:val="3"/>
    </w:pPr>
    <w:rPr>
      <w:rFonts w:eastAsiaTheme="majorEastAsia" w:cstheme="majorBidi"/>
      <w:b/>
      <w:bCs/>
      <w:sz w:val="24"/>
    </w:rPr>
  </w:style>
  <w:style w:type="paragraph" w:styleId="Heading5">
    <w:name w:val="heading 5"/>
    <w:basedOn w:val="Normal"/>
    <w:next w:val="Normal"/>
    <w:uiPriority w:val="9"/>
    <w:unhideWhenUsed/>
    <w:qFormat/>
    <w:rsid w:val="00200F14"/>
    <w:pPr>
      <w:keepNext/>
      <w:keepLines/>
      <w:spacing w:before="200" w:after="0"/>
      <w:outlineLvl w:val="4"/>
    </w:pPr>
    <w:rPr>
      <w:rFonts w:eastAsiaTheme="majorEastAsia"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200F14"/>
    <w:pPr>
      <w:keepNext/>
      <w:keepLines/>
      <w:spacing w:before="480" w:after="240"/>
      <w:jc w:val="center"/>
    </w:pPr>
    <w:rPr>
      <w:rFonts w:eastAsiaTheme="majorEastAsia" w:cstheme="majorBidi"/>
      <w:b/>
      <w:bCs/>
      <w:sz w:val="36"/>
      <w:szCs w:val="36"/>
    </w:rPr>
  </w:style>
  <w:style w:type="paragraph" w:customStyle="1" w:styleId="Authors">
    <w:name w:val="Authors"/>
    <w:next w:val="Normal"/>
    <w:qFormat/>
    <w:rsid w:val="00200F14"/>
    <w:pPr>
      <w:keepNext/>
      <w:keepLines/>
      <w:jc w:val="center"/>
    </w:pPr>
    <w:rPr>
      <w:rFonts w:ascii="Arial" w:hAnsi="Arial"/>
      <w:sz w:val="22"/>
    </w:rPr>
  </w:style>
  <w:style w:type="paragraph" w:styleId="Date">
    <w:name w:val="Date"/>
    <w:next w:val="Normal"/>
    <w:qFormat/>
    <w:rsid w:val="00200F14"/>
    <w:pPr>
      <w:keepNext/>
      <w:keepLines/>
      <w:jc w:val="center"/>
    </w:pPr>
    <w:rPr>
      <w:rFonts w:ascii="Arial" w:hAnsi="Arial"/>
      <w:sz w:val="22"/>
    </w:rPr>
  </w:style>
  <w:style w:type="paragraph" w:customStyle="1" w:styleId="BlockQuote">
    <w:name w:val="Block Quote"/>
    <w:basedOn w:val="Normal"/>
    <w:next w:val="Normal"/>
    <w:uiPriority w:val="9"/>
    <w:unhideWhenUsed/>
    <w:qFormat/>
    <w:rsid w:val="00200F14"/>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00F14"/>
    <w:pPr>
      <w:spacing w:before="0" w:after="0"/>
    </w:pPr>
    <w:rPr>
      <w:rFonts w:ascii="Tahoma" w:hAnsi="Tahoma" w:cs="Tahoma"/>
      <w:sz w:val="16"/>
      <w:szCs w:val="16"/>
    </w:rPr>
  </w:style>
  <w:style w:type="character" w:customStyle="1" w:styleId="BalloonTextChar">
    <w:name w:val="Balloon Text Char"/>
    <w:basedOn w:val="DefaultParagraphFont"/>
    <w:link w:val="BalloonText"/>
    <w:rsid w:val="00200F14"/>
    <w:rPr>
      <w:rFonts w:ascii="Tahoma" w:hAnsi="Tahoma" w:cs="Tahoma"/>
      <w:sz w:val="16"/>
      <w:szCs w:val="1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409</Words>
  <Characters>2336</Characters>
  <Application>Microsoft Office Word</Application>
  <DocSecurity>0</DocSecurity>
  <Lines>19</Lines>
  <Paragraphs>5</Paragraphs>
  <ScaleCrop>false</ScaleCrop>
  <Company>HP</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providing ART to Medicare ineligibles</dc:title>
  <dc:creator>Richard T. Gray</dc:creator>
</cp:coreProperties>
</file>