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January</w:t>
      </w:r>
      <w:r>
        <w:t xml:space="preserve"> </w:t>
      </w:r>
      <w:r>
        <w:t xml:space="preserve">29</w:t>
      </w:r>
      <w:r>
        <w:t xml:space="preserve"> </w:t>
      </w:r>
      <w:r>
        <w:t xml:space="preserve">2015</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 and females, and males who are gay, bisexual or men who have sex with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rate</w:t>
      </w:r>
      <w:r>
        <w:t xml:space="preserve"> </w:t>
      </w:r>
      <m:oMath>
        <m:r>
          <m:rPr/>
          <m:t>π</m:t>
        </m:r>
      </m:oMath>
      <w:r>
        <w:t xml:space="preserve"> </w:t>
      </w:r>
      <w:r>
        <w:t xml:space="preserve">(which is positive for a growing population and negative for a declining population). In ATRAS aproximately 20% of people become medicare eligible and leave the population each year, this would be lower bound on the rate of population change.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(BUT WE CAN IF ATRAS HAS THIS DATA). The most recent data value is used for future projections.</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We also do not consider onward transmission from newly infected partners. As the sexual behaviour for the ART and non-ART population is the same, we use a simple risk equation model with behavioural parameters set to reflect the overall annual risk of transmission rather than incorporating different partnership types and more complex sexual behaviours.</w:t>
      </w:r>
    </w:p>
    <w:p>
      <w:r>
        <w:t xml:space="preserve">Key assumptions:</w:t>
      </w:r>
    </w:p>
    <w:p>
      <w:pPr>
        <w:pStyle w:val="Compact"/>
        <w:numPr>
          <w:numId w:val="2"/>
          <w:ilvl w:val="0"/>
        </w:numPr>
      </w:pPr>
      <w:r>
        <w:t xml:space="preserve">All sexual partners are HIV negative.</w:t>
      </w:r>
    </w:p>
    <w:p>
      <w:pPr>
        <w:pStyle w:val="Compact"/>
        <w:numPr>
          <w:numId w:val="2"/>
          <w:ilvl w:val="0"/>
        </w:numPr>
      </w:pPr>
      <w:r>
        <w:t xml:space="preserve">Homogeneous mixing is assumed which means partnerships are not maintained from year to year.</w:t>
      </w:r>
    </w:p>
    <w:p>
      <w:pPr>
        <w:pStyle w:val="Compact"/>
        <w:numPr>
          <w:numId w:val="2"/>
          <w:ilvl w:val="0"/>
        </w:numPr>
      </w:pPr>
      <w:r>
        <w:t xml:space="preserve">HIV transmission only occurs through sexual intercourse.</w:t>
      </w:r>
    </w:p>
    <w:p>
      <w:pPr>
        <w:pStyle w:val="Compact"/>
        <w:numPr>
          <w:numId w:val="2"/>
          <w:ilvl w:val="0"/>
        </w:numPr>
      </w:pPr>
      <w:r>
        <w:t xml:space="preserve">There is no difference in sexual behaviour between those on and off ART. Hence, the only factor affecting HIV transmission is ART use and viral suppression.</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males have the same number of partners, sexual acts, and condom use on average.</w:t>
      </w:r>
    </w:p>
    <w:p>
      <w:pPr>
        <w:pStyle w:val="Compact"/>
        <w:numPr>
          <w:numId w:val="2"/>
          <w:ilvl w:val="0"/>
        </w:numPr>
      </w:pPr>
      <w:r>
        <w:t xml:space="preserve">Females and males have the same sexual behaviour as males and females in the general heterosexual population in Australia.</w:t>
      </w:r>
    </w:p>
    <w:p>
      <w:pPr>
        <w:pStyle w:val="Compact"/>
        <w:numPr>
          <w:numId w:val="2"/>
          <w:ilvl w:val="0"/>
        </w:numPr>
      </w:pPr>
      <w:r>
        <w:t xml:space="preserve">Behavioural and transmission parameters are assumed constant over time.</w:t>
      </w:r>
    </w:p>
    <w:p>
      <w:pPr>
        <w:pStyle w:val="Compact"/>
        <w:numPr>
          <w:numId w:val="2"/>
          <w:ilvl w:val="0"/>
        </w:numPr>
      </w:pPr>
      <w:r>
        <w:t xml:space="preserve">GBM are exclusively homesexual.</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these costs using previous work for Australian settings</w:t>
      </w:r>
      <w:r>
        <w:t xml:space="preserve"> </w:t>
      </w:r>
      <w:r>
        <w:t xml:space="preserve">[2]</w:t>
      </w:r>
      <w:r>
        <w:t xml:space="preserve">. By summing all costs associated with providing ART to Medicare ineligibles and the average 'lifetime' cost of providing care and support to PLHIV for their infected partners, we estimate the cost per infection averted.</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parameters. Note parameter values and ranges are simple placeholders at the moment. References also need to be found and inserted.</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Endnote justification</w:t>
            </w:r>
          </w:p>
        </w:tc>
      </w:tr>
      <w:tr>
        <w:tc>
          <w:p>
            <w:pPr>
              <w:pStyle w:val="Compact"/>
              <w:jc w:val="left"/>
            </w:pPr>
            <w:r>
              <w:rPr>
                <w:b/>
              </w:rPr>
              <w:t xml:space="preserve">Demographic parameters</w:t>
            </w:r>
          </w:p>
        </w:tc>
        <w:tc>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450</w:t>
            </w:r>
          </w:p>
        </w:tc>
        <w:tc>
          <w:p>
            <w:pPr>
              <w:pStyle w:val="Compact"/>
              <w:jc w:val="left"/>
            </w:pPr>
            <w:r>
              <w:t xml:space="preserve">[400 - 500]</w:t>
            </w:r>
          </w:p>
        </w:tc>
        <w:tc>
          <w:p>
            <w:pPr>
              <w:pStyle w:val="Compact"/>
              <w:jc w:val="left"/>
            </w:pPr>
            <w:r>
              <w:t xml:space="preserve">1</w:t>
            </w:r>
          </w:p>
        </w:tc>
      </w:tr>
      <w:tr>
        <w:tc>
          <w:p>
            <w:pPr>
              <w:pStyle w:val="Compact"/>
              <w:jc w:val="left"/>
            </w:pPr>
            <m:oMath>
              <m:r>
                <m:rPr/>
                <m:t>π</m:t>
              </m:r>
            </m:oMath>
          </w:p>
        </w:tc>
        <w:tc>
          <w:p>
            <w:pPr>
              <w:pStyle w:val="Compact"/>
              <w:jc w:val="left"/>
            </w:pPr>
            <w:r>
              <w:t xml:space="preserve">Rate of entry into population</w:t>
            </w:r>
          </w:p>
        </w:tc>
        <w:tc>
          <w:p>
            <w:pPr>
              <w:pStyle w:val="Compact"/>
              <w:jc w:val="left"/>
            </w:pPr>
            <w:r>
              <w:t xml:space="preserve">1 /yr</w:t>
            </w:r>
          </w:p>
        </w:tc>
        <w:tc>
          <w:p>
            <w:pPr>
              <w:pStyle w:val="Compact"/>
              <w:jc w:val="left"/>
            </w:pPr>
            <w:r>
              <w:t xml:space="preserve">[0.98 - 1.02]</w:t>
            </w:r>
          </w:p>
        </w:tc>
        <w:tc>
          <w:p>
            <w:pPr>
              <w:pStyle w:val="Compact"/>
              <w:jc w:val="left"/>
            </w:pPr>
            <w:r>
              <w:t xml:space="preserve">1</w:t>
            </w:r>
          </w:p>
        </w:tc>
      </w:tr>
      <w:tr>
        <w:tc>
          <w:p>
            <w:pPr>
              <w:pStyle w:val="Compact"/>
              <w:jc w:val="left"/>
            </w:pPr>
            <m:oMath>
              <m:sSub>
                <m:e>
                  <m:r>
                    <m:rPr/>
                    <m:t>p</m:t>
                  </m:r>
                </m:e>
                <m:sub>
                  <m:r>
                    <m:rPr/>
                    <m:t>f</m:t>
                  </m:r>
                </m:sub>
              </m:sSub>
            </m:oMath>
          </w:p>
        </w:tc>
        <w:tc>
          <w:p>
            <w:pPr>
              <w:pStyle w:val="Compact"/>
              <w:jc w:val="left"/>
            </w:pPr>
            <w:r>
              <w:t xml:space="preserve">Proportion population female</w:t>
            </w:r>
          </w:p>
        </w:tc>
        <w:tc>
          <w:p>
            <w:pPr>
              <w:pStyle w:val="Compact"/>
              <w:jc w:val="left"/>
            </w:pPr>
            <w:r>
              <w:t xml:space="preserve">0.25</w:t>
            </w:r>
          </w:p>
        </w:tc>
        <w:tc>
          <w:p>
            <w:pPr>
              <w:pStyle w:val="Compact"/>
              <w:jc w:val="left"/>
            </w:pPr>
            <w:r>
              <w:t xml:space="preserve">[0.2 - 0.3]</w:t>
            </w:r>
          </w:p>
        </w:tc>
        <w:tc>
          <w:p>
            <w:pPr>
              <w:pStyle w:val="Compact"/>
              <w:jc w:val="left"/>
            </w:pPr>
            <w:r>
              <w:t xml:space="preserve">1</w:t>
            </w:r>
          </w:p>
        </w:tc>
      </w:tr>
      <w:tr>
        <w:tc>
          <w:p>
            <w:pPr>
              <w:pStyle w:val="Compact"/>
              <w:jc w:val="left"/>
            </w:pPr>
            <m:oMath>
              <m:sSub>
                <m:e>
                  <m:r>
                    <m:rPr/>
                    <m:t>p</m:t>
                  </m:r>
                </m:e>
                <m:sub>
                  <m:r>
                    <m:rPr/>
                    <m:t>m</m:t>
                  </m:r>
                </m:sub>
              </m:sSub>
            </m:oMath>
          </w:p>
        </w:tc>
        <w:tc>
          <w:p>
            <w:pPr>
              <w:pStyle w:val="Compact"/>
              <w:jc w:val="left"/>
            </w:pPr>
            <w:r>
              <w:t xml:space="preserve">Proportion population male</w:t>
            </w:r>
          </w:p>
        </w:tc>
        <w:tc>
          <w:p>
            <w:pPr>
              <w:pStyle w:val="Compact"/>
              <w:jc w:val="left"/>
            </w:pPr>
            <w:r>
              <w:t xml:space="preserve">0.23</w:t>
            </w:r>
          </w:p>
        </w:tc>
        <w:tc>
          <w:p>
            <w:pPr>
              <w:pStyle w:val="Compact"/>
              <w:jc w:val="left"/>
            </w:pPr>
            <w:r>
              <w:t xml:space="preserve">[0.2 - 0.3]</w:t>
            </w:r>
          </w:p>
        </w:tc>
        <w:tc>
          <w:p>
            <w:pPr>
              <w:pStyle w:val="Compact"/>
              <w:jc w:val="left"/>
            </w:pPr>
            <w:r>
              <w:t xml:space="preserve">1</w:t>
            </w:r>
          </w:p>
        </w:tc>
      </w:tr>
      <w:tr>
        <w:tc>
          <w:p>
            <w:pPr>
              <w:pStyle w:val="Compact"/>
              <w:jc w:val="left"/>
            </w:pPr>
            <m:oMath>
              <m:sSub>
                <m:e>
                  <m:r>
                    <m:rPr/>
                    <m:t>p</m:t>
                  </m:r>
                </m:e>
                <m:sub>
                  <m:r>
                    <m:rPr/>
                    <m:t>g</m:t>
                  </m:r>
                </m:sub>
              </m:sSub>
            </m:oMath>
          </w:p>
        </w:tc>
        <w:tc>
          <w:p>
            <w:pPr>
              <w:pStyle w:val="Compact"/>
              <w:jc w:val="left"/>
            </w:pPr>
            <w:r>
              <w:t xml:space="preserve">Proprtion population GBM</w:t>
            </w:r>
          </w:p>
        </w:tc>
        <w:tc>
          <w:p>
            <w:pPr>
              <w:pStyle w:val="Compact"/>
              <w:jc w:val="left"/>
            </w:pPr>
            <m:oMath>
              <m:r>
                <m:rPr/>
                <m:t>1</m:t>
              </m:r>
              <m:r>
                <m:rPr/>
                <m:t>−</m:t>
              </m:r>
              <m:sSub>
                <m:e>
                  <m:r>
                    <m:rPr/>
                    <m:t>p</m:t>
                  </m:r>
                </m:e>
                <m:sub>
                  <m:r>
                    <m:rPr/>
                    <m:t>f</m:t>
                  </m:r>
                </m:sub>
              </m:sSub>
              <m:r>
                <m:rPr/>
                <m:t>−</m:t>
              </m:r>
              <m:sSub>
                <m:e>
                  <m:r>
                    <m:rPr/>
                    <m:t>p</m:t>
                  </m:r>
                </m:e>
                <m:sub>
                  <m:r>
                    <m:rPr/>
                    <m:t>m</m:t>
                  </m:r>
                </m:sub>
              </m:sSub>
            </m:oMath>
          </w:p>
        </w:tc>
        <w:tc>
          <w:p>
            <w:pPr>
              <w:pStyle w:val="Compact"/>
              <w:jc w:val="left"/>
            </w:pPr>
            <w:r>
              <w:t xml:space="preserve">Depends on</w:t>
            </w:r>
            <w:r>
              <w:t xml:space="preserve"> </w:t>
            </w:r>
            <m:oMath>
              <m:sSub>
                <m:e>
                  <m:r>
                    <m:rPr/>
                    <m:t>p</m:t>
                  </m:r>
                </m:e>
                <m:sub>
                  <m:r>
                    <m:rPr/>
                    <m:t>f</m:t>
                  </m:r>
                </m:sub>
              </m:sSub>
            </m:oMath>
            <w:r>
              <w:t xml:space="preserve"> </w:t>
            </w:r>
            <w:r>
              <w:t xml:space="preserve">and</w:t>
            </w:r>
            <w:r>
              <w:t xml:space="preserve"> </w:t>
            </w:r>
            <m:oMath>
              <m:sSub>
                <m:e>
                  <m:r>
                    <m:rPr/>
                    <m:t>p</m:t>
                  </m:r>
                </m:e>
                <m:sub>
                  <m:r>
                    <m:rPr/>
                    <m:t>m</m:t>
                  </m:r>
                </m:sub>
              </m:sSub>
            </m:oMath>
            <w:r>
              <w:t xml:space="preserve"> </w:t>
            </w:r>
            <w:r>
              <w:t xml:space="preserve">values</w:t>
            </w:r>
          </w:p>
        </w:tc>
        <w:tc>
          <w:p>
            <w:pPr>
              <w:pStyle w:val="Compact"/>
              <w:jc w:val="left"/>
            </w:pPr>
            <w:r>
              <w:t xml:space="preserve">1</w:t>
            </w:r>
          </w:p>
        </w:tc>
      </w:tr>
      <w:tr>
        <w:tc>
          <w:p>
            <w:pPr>
              <w:pStyle w:val="Compact"/>
              <w:jc w:val="left"/>
            </w:pPr>
            <w:r>
              <w:rPr>
                <w:b/>
              </w:rPr>
              <w:t xml:space="preserve">Clinical parameters</w:t>
            </w:r>
          </w:p>
        </w:tc>
        <w:tc>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[0.95 - 1.05]</w:t>
            </w:r>
          </w:p>
        </w:tc>
        <w:tc>
          <w:p>
            <w:pPr>
              <w:pStyle w:val="Compact"/>
              <w:jc w:val="left"/>
            </w:pPr>
            <w:r>
              <w:t xml:space="preserve">2</w:t>
            </w:r>
          </w:p>
        </w:tc>
      </w:tr>
      <w:tr>
        <w:tc>
          <w:p>
            <w:pPr>
              <w:pStyle w:val="Compact"/>
              <w:jc w:val="left"/>
            </w:pPr>
            <m:oMath>
              <m:r>
                <m:rPr/>
                <m:t>ψ</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[0.95 - 1.05]</w:t>
            </w:r>
          </w:p>
        </w:tc>
        <w:tc>
          <w:p>
            <w:pPr>
              <w:pStyle w:val="Compact"/>
              <w:jc w:val="left"/>
            </w:pPr>
            <w:r>
              <w:t xml:space="preserve">2</w:t>
            </w:r>
          </w:p>
        </w:tc>
      </w:tr>
      <w:tr>
        <w:tc>
          <w:p>
            <w:pPr>
              <w:pStyle w:val="Compact"/>
              <w:jc w:val="left"/>
            </w:pPr>
            <w:r>
              <w:rPr>
                <w:b/>
              </w:rPr>
              <w:t xml:space="preserve">HIV behavioural parameters</w:t>
            </w:r>
          </w:p>
        </w:tc>
        <w:tc>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80</w:t>
            </w:r>
          </w:p>
        </w:tc>
        <w:tc>
          <w:p>
            <w:pPr>
              <w:pStyle w:val="Compact"/>
              <w:jc w:val="left"/>
            </w:pPr>
            <w:r>
              <w:t xml:space="preserve">[60 - 100]</w:t>
            </w:r>
          </w:p>
        </w:tc>
        <w:tc>
          <w:p>
            <w:pPr>
              <w:pStyle w:val="Compact"/>
              <w:jc w:val="left"/>
            </w:pPr>
            <w:r>
              <w:t xml:space="preserve">3</w:t>
            </w:r>
          </w:p>
        </w:tc>
      </w:tr>
      <w:tr>
        <w:tc>
          <w:p>
            <w:pPr>
              <w:pStyle w:val="Compact"/>
              <w:jc w:val="left"/>
            </w:pPr>
            <m:oMath>
              <m:sSubSup>
                <m:e>
                  <m:r>
                    <m:rPr/>
                    <m:t>p</m:t>
                  </m:r>
                </m:e>
                <m:sub>
                  <m:r>
                    <m:rPr/>
                    <m:t>h</m:t>
                  </m:r>
                </m:sub>
                <m:sup>
                  <m:r>
                    <m:rPr/>
                    <m:t>c</m:t>
                  </m:r>
                </m:sup>
              </m:sSubSup>
            </m:oMath>
          </w:p>
        </w:tc>
        <w:tc>
          <w:p>
            <w:pPr>
              <w:pStyle w:val="Compact"/>
              <w:jc w:val="left"/>
            </w:pPr>
            <w:r>
              <w:t xml:space="preserve">Proportion of heterosexual acts protected with a condom</w:t>
            </w:r>
          </w:p>
        </w:tc>
        <w:tc>
          <w:p>
            <w:pPr>
              <w:pStyle w:val="Compact"/>
              <w:jc w:val="left"/>
            </w:pPr>
            <w:r>
              <w:t xml:space="preserve">0.225</w:t>
            </w:r>
          </w:p>
        </w:tc>
        <w:tc>
          <w:p>
            <w:pPr>
              <w:pStyle w:val="Compact"/>
              <w:jc w:val="left"/>
            </w:pPr>
            <w:r>
              <w:t xml:space="preserve">[0.15 - 0.3]</w:t>
            </w:r>
          </w:p>
        </w:tc>
        <w:tc>
          <w:p>
            <w:pPr>
              <w:pStyle w:val="Compact"/>
              <w:jc w:val="left"/>
            </w:pPr>
            <w:r>
              <w:t xml:space="preserve">4</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40</w:t>
            </w:r>
          </w:p>
        </w:tc>
        <w:tc>
          <w:p>
            <w:pPr>
              <w:pStyle w:val="Compact"/>
              <w:jc w:val="left"/>
            </w:pPr>
            <w:r>
              <w:t xml:space="preserve">[20 - 60]</w:t>
            </w:r>
          </w:p>
        </w:tc>
        <w:tc>
          <w:p>
            <w:pPr>
              <w:pStyle w:val="Compact"/>
              <w:jc w:val="left"/>
            </w:pPr>
            <w:r>
              <w:t xml:space="preserve">5</w:t>
            </w:r>
          </w:p>
        </w:tc>
      </w:tr>
      <w:tr>
        <w:tc>
          <w:p>
            <w:pPr>
              <w:pStyle w:val="Compact"/>
              <w:jc w:val="left"/>
            </w:pPr>
            <m:oMath>
              <m:sSubSup>
                <m:e>
                  <m:r>
                    <m:rPr/>
                    <m:t>p</m:t>
                  </m:r>
                </m:e>
                <m:sub>
                  <m:r>
                    <m:rPr/>
                    <m:t>g</m:t>
                  </m:r>
                </m:sub>
                <m:sup>
                  <m:r>
                    <m:rPr/>
                    <m:t>c</m:t>
                  </m:r>
                </m:sup>
              </m:sSubSup>
            </m:oMath>
          </w:p>
        </w:tc>
        <w:tc>
          <w:p>
            <w:pPr>
              <w:pStyle w:val="Compact"/>
              <w:jc w:val="left"/>
            </w:pPr>
            <w:r>
              <w:t xml:space="preserve">Proportion of GBM acts protected with a condom</w:t>
            </w:r>
          </w:p>
        </w:tc>
        <w:tc>
          <w:p>
            <w:pPr>
              <w:pStyle w:val="Compact"/>
              <w:jc w:val="left"/>
            </w:pPr>
            <w:r>
              <w:t xml:space="preserve">0.575</w:t>
            </w:r>
          </w:p>
        </w:tc>
        <w:tc>
          <w:p>
            <w:pPr>
              <w:pStyle w:val="Compact"/>
              <w:jc w:val="left"/>
            </w:pPr>
            <w:r>
              <w:t xml:space="preserve">[0.5 - 0.65]</w:t>
            </w:r>
          </w:p>
        </w:tc>
        <w:tc>
          <w:p>
            <w:pPr>
              <w:pStyle w:val="Compact"/>
              <w:jc w:val="left"/>
            </w:pPr>
            <w:r>
              <w:t xml:space="preserve">6</w:t>
            </w:r>
          </w:p>
        </w:tc>
      </w:tr>
      <w:tr>
        <w:tc>
          <w:p>
            <w:pPr>
              <w:pStyle w:val="Compact"/>
              <w:jc w:val="left"/>
            </w:pPr>
            <w:r>
              <w:rPr>
                <w:b/>
              </w:rPr>
              <w:t xml:space="preserve">HIV transmission paramaters</w:t>
            </w:r>
          </w:p>
        </w:tc>
        <w:tc>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4</w:t>
            </w:r>
            <w:r>
              <w:t xml:space="preserve">10^{-4}</w:t>
            </w:r>
          </w:p>
        </w:tc>
        <w:tc>
          <w:p>
            <w:pPr>
              <w:pStyle w:val="Compact"/>
              <w:jc w:val="left"/>
            </w:pPr>
            <w:r>
              <w:t xml:space="preserve">[10^{-4} - 0.0014]</w:t>
            </w:r>
          </w:p>
        </w:tc>
        <w:tc>
          <w:p>
            <w:pPr>
              <w:pStyle w:val="Compact"/>
              <w:jc w:val="left"/>
            </w:pPr>
            <w:r>
              <w:t xml:space="preserve">7</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8</w:t>
            </w:r>
            <w:r>
              <w:t xml:space="preserve">10^{-4}</w:t>
            </w:r>
          </w:p>
        </w:tc>
        <w:tc>
          <w:p>
            <w:pPr>
              <w:pStyle w:val="Compact"/>
              <w:jc w:val="left"/>
            </w:pPr>
            <w:r>
              <w:t xml:space="preserve">[6</w:t>
            </w:r>
            <w:r>
              <w:t xml:space="preserve">10^{-4} - 0.0011]</w:t>
            </w:r>
          </w:p>
        </w:tc>
        <w:tc>
          <w:p>
            <w:pPr>
              <w:pStyle w:val="Compact"/>
              <w:jc w:val="left"/>
            </w:pPr>
            <w:r>
              <w:t xml:space="preserve">7</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0.014</w:t>
            </w:r>
          </w:p>
        </w:tc>
        <w:tc>
          <w:p>
            <w:pPr>
              <w:pStyle w:val="Compact"/>
              <w:jc w:val="left"/>
            </w:pPr>
            <w:r>
              <w:t xml:space="preserve">[0.01 - 0.019]</w:t>
            </w:r>
          </w:p>
        </w:tc>
        <w:tc>
          <w:p>
            <w:pPr>
              <w:pStyle w:val="Compact"/>
              <w:jc w:val="left"/>
            </w:pPr>
            <w:r>
              <w:t xml:space="preserve">8</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0.9</w:t>
            </w:r>
          </w:p>
        </w:tc>
        <w:tc>
          <w:p>
            <w:pPr>
              <w:pStyle w:val="Compact"/>
              <w:jc w:val="left"/>
            </w:pPr>
            <w:r>
              <w:t xml:space="preserve">[0.8 - 0.975]</w:t>
            </w:r>
          </w:p>
        </w:tc>
        <w:tc>
          <w:p>
            <w:pPr>
              <w:pStyle w:val="Compact"/>
              <w:jc w:val="left"/>
            </w:pPr>
            <w:r>
              <w:t xml:space="preserve">9</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0.7</w:t>
            </w:r>
          </w:p>
        </w:tc>
        <w:tc>
          <w:p>
            <w:pPr>
              <w:pStyle w:val="Compact"/>
              <w:jc w:val="left"/>
            </w:pPr>
            <w:r>
              <w:t xml:space="preserve">[0.5 - 0.9]</w:t>
            </w:r>
          </w:p>
        </w:tc>
        <w:tc>
          <w:p>
            <w:pPr>
              <w:pStyle w:val="Compact"/>
              <w:jc w:val="left"/>
            </w:pPr>
            <w:r>
              <w:t xml:space="preserve">10</w:t>
            </w:r>
          </w:p>
        </w:tc>
      </w:tr>
      <w:tr>
        <w:tc>
          <w:p>
            <w:pPr>
              <w:pStyle w:val="Compact"/>
              <w:jc w:val="left"/>
            </w:pPr>
            <w:r>
              <w:rPr>
                <w:b/>
              </w:rPr>
              <w:t xml:space="preserve">Healthcare costs</w:t>
            </w:r>
          </w:p>
        </w:tc>
        <w:tc>
          <w:p/>
        </w:tc>
        <w:tc>
          <w:p/>
        </w:tc>
        <w:tc>
          <w:p/>
        </w:tc>
      </w:tr>
      <w:tr>
        <w:tc>
          <w:p>
            <w:pPr>
              <w:pStyle w:val="Compact"/>
              <w:jc w:val="left"/>
            </w:pPr>
            <m:oMath>
              <m:sSub>
                <m:e>
                  <m:r>
                    <m:rPr/>
                    <m:t>c</m:t>
                  </m:r>
                </m:e>
                <m:sub>
                  <m:r>
                    <m:rPr/>
                    <m:t>c</m:t>
                  </m:r>
                  <m:r>
                    <m:rPr/>
                    <m:t>a</m:t>
                  </m:r>
                  <m:r>
                    <m:rPr/>
                    <m:t>r</m:t>
                  </m:r>
                  <m:r>
                    <m:rPr/>
                    <m:t>e</m:t>
                  </m:r>
                </m:sub>
              </m:sSub>
            </m:oMath>
          </w:p>
        </w:tc>
        <w:tc>
          <w:p>
            <w:pPr>
              <w:pStyle w:val="Compact"/>
              <w:jc w:val="left"/>
            </w:pPr>
            <w:r>
              <w:t xml:space="preserve">Average annual healthcare for cost for PLHIV</w:t>
            </w:r>
          </w:p>
        </w:tc>
        <w:tc>
          <w:p>
            <w:pPr>
              <w:pStyle w:val="Compact"/>
              <w:jc w:val="left"/>
            </w:pPr>
            <w:r>
              <w:t xml:space="preserve">0</w:t>
            </w:r>
          </w:p>
        </w:tc>
        <w:tc>
          <w:p>
            <w:pPr>
              <w:pStyle w:val="Compact"/>
              <w:jc w:val="left"/>
            </w:pPr>
            <w:r>
              <w:t xml:space="preserve">[0 - 0]</w:t>
            </w:r>
          </w:p>
        </w:tc>
        <w:tc>
          <w:p>
            <w:pPr>
              <w:pStyle w:val="Compact"/>
              <w:jc w:val="left"/>
            </w:pPr>
            <w:r>
              <w:t xml:space="preserve">11</w:t>
            </w:r>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0</w:t>
            </w:r>
          </w:p>
        </w:tc>
        <w:tc>
          <w:p>
            <w:pPr>
              <w:pStyle w:val="Compact"/>
              <w:jc w:val="left"/>
            </w:pPr>
            <w:r>
              <w:t xml:space="preserve">[0 - 0]</w:t>
            </w:r>
          </w:p>
        </w:tc>
        <w:tc>
          <w:p>
            <w:pPr>
              <w:pStyle w:val="Compact"/>
              <w:jc w:val="left"/>
            </w:pPr>
            <w:r>
              <w:t xml:space="preserve">11</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healthcare (including ART) post infection</w:t>
            </w:r>
          </w:p>
        </w:tc>
        <w:tc>
          <w:p>
            <w:pPr>
              <w:pStyle w:val="Compact"/>
              <w:jc w:val="left"/>
            </w:pPr>
            <w:r>
              <w:t xml:space="preserve">0</w:t>
            </w:r>
          </w:p>
        </w:tc>
        <w:tc>
          <w:p>
            <w:pPr>
              <w:pStyle w:val="Compact"/>
              <w:jc w:val="left"/>
            </w:pPr>
            <w:r>
              <w:t xml:space="preserve">[0 - 0]</w:t>
            </w:r>
          </w:p>
        </w:tc>
        <w:tc>
          <w:p>
            <w:pPr>
              <w:pStyle w:val="Compact"/>
              <w:jc w:val="left"/>
            </w:pPr>
            <w:r>
              <w:t xml:space="preserve">12</w:t>
            </w:r>
          </w:p>
        </w:tc>
      </w:tr>
    </w:tbl>
    <w:p>
      <w:pPr>
        <w:pStyle w:val="Compact"/>
        <w:numPr>
          <w:numId w:val="3"/>
          <w:ilvl w:val="0"/>
        </w:numPr>
      </w:pPr>
      <w:r>
        <w:t xml:space="preserve">[1]</w:t>
      </w:r>
      <w:r>
        <w:br w:type="textWrapping"/>
      </w:r>
    </w:p>
    <w:p>
      <w:r>
        <w:t xml:space="preserve">2.</w:t>
      </w:r>
      <w:r>
        <w:br w:type="textWrapping"/>
      </w:r>
      <w:r>
        <w:t xml:space="preserve">3. The Second Australian Study of Health and Relationships reported heterosexual men had an average of 1.4 partners in the previous year (95% CI: 1.3-1.4; median 1) and heterosexual women had an average of 0.98 partners in the previous year (95% CI: 0.95-1; median 1)</w:t>
      </w:r>
      <w:r>
        <w:t xml:space="preserve"> </w:t>
      </w:r>
      <w:r>
        <w:t xml:space="preserve">[3]</w:t>
      </w:r>
      <w:r>
        <w:t xml:space="preserve">. Seventy four percent of all respondents were in a regular partnership (equal to 89% of those sexually active). On average those in a regular pertnership had vaginal intercourse 1.42 times per week (95% CI: 1.34-1.50). This gives a range of 0.95 x 0.9 x 1.34 x 52 = 59.6 to 1.4 x 0.9 x 1.5 x 52 = 98.3 heterosexual acts per year.Based on this data and calculations we assume a range of [60 - 100] acts per year. 4. The Second Australian Study of Health and Relationships reported 25.5% and 21.1% of men and women respectively used a condom during most recent sexual encounter involving vaginal sex</w:t>
      </w:r>
      <w:r>
        <w:t xml:space="preserve"> </w:t>
      </w:r>
      <w:r>
        <w:t xml:space="preserve">[4]</w:t>
      </w:r>
      <w:r>
        <w:t xml:space="preserve">. Based on this data we assume a range of [15 - 30]%.</w:t>
      </w:r>
    </w:p>
    <w:p>
      <w:pPr>
        <w:pStyle w:val="Compact"/>
        <w:numPr>
          <w:numId w:val="4"/>
          <w:ilvl w:val="0"/>
        </w:numPr>
      </w:pPr>
      <w:r>
        <w:t xml:space="preserve">The Second Australian Study of Health and Relationships reported homosexual men had an average of 6.8 partners in the previous year (95% CI: 5.1-8.5; median 3). Twenty eight percent of homosexual men were in a regular homosexual relationship which we assume 1-2 acts anal intercourse per week with the remaining partnerships being casual with 1-2 acts of anal intercourse per partnership. In terms of sexual acts this data suggests an estimate 0.28 x 2 x 52 = 30 regular acts per year and 6.5 x 2 = 13 casual acts per year - assuming 2 acts of anal intercourse per week for regular partnerships and 2 acts of anal intercourse per casual partner. Based on this data and calculations we assume a range of [20 - 60].</w:t>
      </w:r>
    </w:p>
    <w:p>
      <w:pPr>
        <w:pStyle w:val="Compact"/>
        <w:numPr>
          <w:numId w:val="4"/>
          <w:ilvl w:val="0"/>
        </w:numPr>
      </w:pPr>
      <w:r>
        <w:t xml:space="preserve">The Second Australian Study of Health and Relationships reported 56.7% and 58.9% men engaging in homosexual behaviour used a condom when they last engaged in insertive and receptive anal sex, respectively. Based on this data we assume a range of [50 - 65]%.</w:t>
      </w:r>
      <w:r>
        <w:br w:type="textWrapping"/>
      </w:r>
    </w:p>
    <w:p>
      <w:r>
        <w:t xml:space="preserve">8.</w:t>
      </w:r>
      <w:r>
        <w:br w:type="textWrapping"/>
      </w:r>
      <w:r>
        <w:t xml:space="preserve">9.</w:t>
      </w:r>
      <w:r>
        <w:br w:type="textWrapping"/>
      </w:r>
      <w:r>
        <w:t xml:space="preserve">10.</w:t>
      </w:r>
      <w:r>
        <w:br w:type="textWrapping"/>
      </w:r>
      <w:r>
        <w:t xml:space="preserve">11.</w:t>
      </w:r>
    </w:p>
    <w:bookmarkStart w:id="27" w:name="calculations-for-new-infections-and-costs"/>
    <w:p>
      <w:pPr>
        <w:pStyle w:val="Heading4"/>
      </w:pPr>
      <w:r>
        <w:t xml:space="preserve">Calculations for new infections and costs</w:t>
      </w:r>
    </w:p>
    <w:bookmarkEnd w:id="27"/>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For a given population,</w:t>
      </w:r>
    </w:p>
    <w:p>
      <m:oMathPara>
        <m:oMathParaPr>
          <m:jc m:val="center"/>
        </m:oMathParaPr>
        <m:oMath>
          <m:sSub>
            <m:e>
              <m:r>
                <m:rPr/>
                <m:t>I</m:t>
              </m:r>
            </m:e>
            <m:sub>
              <m:r>
                <m:rPr/>
                <m:t>x</m:t>
              </m:r>
            </m:sub>
          </m:sSub>
          <m:r>
            <m:rPr/>
            <m:t>=</m:t>
          </m:r>
          <m:r>
            <m:rPr/>
            <m:t>N</m:t>
          </m:r>
          <m:sSub>
            <m:e>
              <m:r>
                <m:rPr/>
                <m:t>p</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sSub>
            <m:e>
              <m:r>
                <m:rPr/>
                <m:t>I</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oMath>
      </m:oMathPara>
    </w:p>
    <w:p>
      <w:r>
        <w:t xml:space="preserve">Adding all the population terms together and substituting in the equation for</w:t>
      </w:r>
      <w:r>
        <w:t xml:space="preserve"> </w:t>
      </w:r>
      <m:oMath>
        <m:r>
          <m:rPr/>
          <m:t>β</m:t>
        </m:r>
        <m:sSub>
          <m:e>
            <m:r>
              <m:rPr/>
              <m:t>ʹ</m:t>
            </m:r>
          </m:e>
          <m:sub>
            <m:r>
              <m:rPr/>
              <m:t>x</m:t>
            </m:r>
          </m:sub>
        </m:sSub>
      </m:oMath>
      <w:r>
        <w:t xml:space="preserve"> </w:t>
      </w:r>
      <w:r>
        <w:t xml:space="preserve">gives (after some algebra) the overall risk equation for the number of new infections in a given year</w:t>
      </w:r>
      <w:r>
        <w:t xml:space="preserve"> </w:t>
      </w:r>
      <m:oMath>
        <m:r>
          <m:rPr/>
          <m:t>y</m:t>
        </m:r>
      </m:oMath>
      <w:r>
        <w:t xml:space="preserve">,</w:t>
      </w:r>
    </w:p>
    <w:p>
      <m:oMathPara>
        <m:oMathParaPr>
          <m:jc m:val="center"/>
        </m:oMathParaPr>
        <m:oMath>
          <m:r>
            <m:rPr/>
            <m:t>I</m:t>
          </m:r>
          <m:r>
            <m:rPr/>
            <m:t>(</m:t>
          </m:r>
          <m:r>
            <m:rPr/>
            <m:t>y</m:t>
          </m:r>
          <m:r>
            <m:rPr/>
            <m:t>)</m:t>
          </m:r>
          <m:r>
            <m:rPr/>
            <m:t>=</m:t>
          </m:r>
          <m:r>
            <m:rPr/>
            <m:t>N</m:t>
          </m:r>
          <m:r>
            <m:rPr/>
            <m:t>(</m:t>
          </m:r>
          <m:r>
            <m:rPr/>
            <m:t>y</m:t>
          </m:r>
          <m:r>
            <m:rPr/>
            <m:t>)</m:t>
          </m:r>
          <m:r>
            <m:rPr/>
            <m:t>[</m:t>
          </m:r>
          <m:sSub>
            <m:e>
              <m:r>
                <m:rPr/>
                <m:t>a</m:t>
              </m:r>
            </m:e>
            <m:sub>
              <m:r>
                <m:rPr/>
                <m:t>h</m:t>
              </m:r>
            </m:sub>
          </m:sSub>
          <m:r>
            <m:rPr/>
            <m:t>(</m:t>
          </m:r>
          <m:r>
            <m:rPr/>
            <m:t>1</m:t>
          </m:r>
          <m:r>
            <m:rPr/>
            <m:t>−</m:t>
          </m:r>
          <m:sSubSup>
            <m:e>
              <m:r>
                <m:rPr/>
                <m:t>p</m:t>
              </m:r>
            </m:e>
            <m:sub>
              <m:r>
                <m:rPr/>
                <m:t>h</m:t>
              </m:r>
            </m:sub>
            <m:sup>
              <m:r>
                <m:rPr/>
                <m:t>c</m:t>
              </m:r>
            </m:sup>
          </m:sSubSup>
          <m:sSub>
            <m:e>
              <m:r>
                <m:rPr/>
                <m:t>ε</m:t>
              </m:r>
            </m:e>
            <m:sub>
              <m:r>
                <m:rPr/>
                <m:t>c</m:t>
              </m:r>
            </m:sub>
          </m:sSub>
          <m:r>
            <m:rPr/>
            <m:t>)</m:t>
          </m:r>
          <m:r>
            <m:rPr/>
            <m:t>(</m:t>
          </m:r>
          <m:sSub>
            <m:e>
              <m:r>
                <m:rPr/>
                <m:t>p</m:t>
              </m:r>
            </m:e>
            <m:sub>
              <m:r>
                <m:rPr/>
                <m:t>f</m:t>
              </m:r>
            </m:sub>
          </m:sSub>
          <m:sSub>
            <m:e>
              <m:r>
                <m:rPr/>
                <m:t>β</m:t>
              </m:r>
            </m:e>
            <m:sub>
              <m:r>
                <m:rPr/>
                <m:t>f</m:t>
              </m:r>
            </m:sub>
          </m:sSub>
          <m:r>
            <m:rPr/>
            <m:t>+</m:t>
          </m:r>
          <m:sSub>
            <m:e>
              <m:r>
                <m:rPr/>
                <m:t>p</m:t>
              </m:r>
            </m:e>
            <m:sub>
              <m:r>
                <m:rPr/>
                <m:t>m</m:t>
              </m:r>
            </m:sub>
          </m:sSub>
          <m:sSub>
            <m:e>
              <m:r>
                <m:rPr/>
                <m:t>β</m:t>
              </m:r>
            </m:e>
            <m:sub>
              <m:r>
                <m:rPr/>
                <m:t>m</m:t>
              </m:r>
            </m:sub>
          </m:sSub>
          <m:r>
            <m:rPr/>
            <m:t>)</m:t>
          </m:r>
          <m:r>
            <m:rPr/>
            <m:t>+</m:t>
          </m:r>
          <m:sSub>
            <m:e>
              <m:r>
                <m:rPr/>
                <m:t>a</m:t>
              </m:r>
            </m:e>
            <m:sub>
              <m:r>
                <m:rPr/>
                <m:t>g</m:t>
              </m:r>
            </m:sub>
          </m:sSub>
          <m:r>
            <m:rPr/>
            <m:t>(</m:t>
          </m:r>
          <m:r>
            <m:rPr/>
            <m:t>1</m:t>
          </m:r>
          <m:r>
            <m:rPr/>
            <m:t>−</m:t>
          </m:r>
          <m:sSubSup>
            <m:e>
              <m:r>
                <m:rPr/>
                <m:t>p</m:t>
              </m:r>
            </m:e>
            <m:sub>
              <m:r>
                <m:rPr/>
                <m:t>g</m:t>
              </m:r>
            </m:sub>
            <m:sup>
              <m:r>
                <m:rPr/>
                <m:t>c</m:t>
              </m:r>
            </m:sup>
          </m:sSubSup>
          <m:sSub>
            <m:e>
              <m:r>
                <m:rPr/>
                <m:t>ε</m:t>
              </m:r>
            </m:e>
            <m:sub>
              <m:r>
                <m:rPr/>
                <m:t>c</m:t>
              </m:r>
            </m:sub>
          </m:sSub>
          <m:r>
            <m:rPr/>
            <m:t>)</m:t>
          </m:r>
          <m:sSub>
            <m:e>
              <m:r>
                <m:rPr/>
                <m:t>p</m:t>
              </m:r>
            </m:e>
            <m:sub>
              <m:r>
                <m:rPr/>
                <m:t>g</m:t>
              </m:r>
            </m:sub>
          </m:sSub>
          <m:sSub>
            <m:e>
              <m:r>
                <m:rPr/>
                <m:t>β</m:t>
              </m:r>
            </m:e>
            <m:sub>
              <m:r>
                <m:rPr/>
                <m:t>g</m:t>
              </m:r>
            </m:sub>
          </m:sSub>
          <m:r>
            <m:rPr/>
            <m:t>]</m:t>
          </m:r>
          <m:r>
            <m:rPr/>
            <m:t>(</m:t>
          </m:r>
          <m:r>
            <m:rPr/>
            <m:t>1</m:t>
          </m:r>
          <m:r>
            <m:rPr/>
            <m:t>−</m:t>
          </m:r>
          <m:r>
            <m:rPr/>
            <m:t>θ</m:t>
          </m:r>
          <m:r>
            <m:rPr/>
            <m:t>(</m:t>
          </m:r>
          <m:r>
            <m:rPr/>
            <m:t>y</m:t>
          </m:r>
          <m:r>
            <m:rPr/>
            <m:t>)</m:t>
          </m:r>
          <m:r>
            <m:rPr/>
            <m:t>ψ</m:t>
          </m:r>
          <m:r>
            <m:rPr/>
            <m:t>(</m:t>
          </m:r>
          <m:r>
            <m:rPr/>
            <m:t>y</m:t>
          </m:r>
          <m:r>
            <m:rPr/>
            <m:t>)</m:t>
          </m:r>
          <m:sSub>
            <m:e>
              <m:r>
                <m:rPr/>
                <m:t>ε</m:t>
              </m:r>
            </m:e>
            <m:sub>
              <m:r>
                <m:rPr/>
                <m:t>A</m:t>
              </m:r>
              <m:r>
                <m:rPr/>
                <m:t>R</m:t>
              </m:r>
              <m:r>
                <m:rPr/>
                <m:t>T</m:t>
              </m:r>
            </m:sub>
          </m:sSub>
          <m:r>
            <m:rPr/>
            <m:t>)</m:t>
          </m:r>
          <m:r>
            <m:rPr/>
            <m:t>.</m:t>
          </m:r>
        </m:oMath>
      </m:oMathPara>
    </w:p>
    <w:p>
      <w:r>
        <w:t xml:space="preserve">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and infected partners is then given by</w:t>
      </w:r>
    </w:p>
    <w:p>
      <m:oMathPara>
        <m:oMathParaPr>
          <m:jc m:val="center"/>
        </m:oMathParaPr>
        <m:oMath>
          <m:r>
            <m:rPr/>
            <m:t>S</m:t>
          </m:r>
          <m:r>
            <m:rPr/>
            <m:t>=</m:t>
          </m:r>
          <m:d>
            <m:dPr>
              <m:begChr m:val="["/>
              <m:endChr m:val="]"/>
              <m:grow/>
            </m:dPr>
            <m:e>
              <m:nary>
                <m:naryPr>
                  <m:chr m:val="∑"/>
                  <m:limLoc m:val="undOvr"/>
                  <m:supHide m:val="off"/>
                  <m:supHide m:val="off"/>
                </m:naryPr>
                <m:e>
                  <m:r>
                    <m:rPr/>
                    <m:t>(</m:t>
                  </m:r>
                </m:e>
                <m:sub>
                  <m:r>
                    <m:rPr/>
                    <m:t>y</m:t>
                  </m:r>
                  <m:r>
                    <m:rPr/>
                    <m:t>=</m:t>
                  </m:r>
                  <m:r>
                    <m:rPr/>
                    <m:t>1</m:t>
                  </m:r>
                </m:sub>
                <m:sup>
                  <m:r>
                    <m:rPr/>
                    <m:t>y</m:t>
                  </m:r>
                  <m:r>
                    <m:rPr/>
                    <m:t>e</m:t>
                  </m:r>
                  <m:r>
                    <m:rPr/>
                    <m:t>a</m:t>
                  </m:r>
                  <m:r>
                    <m:rPr/>
                    <m:t>r</m:t>
                  </m:r>
                  <m:r>
                    <m:rPr/>
                    <m:t>s</m:t>
                  </m:r>
                </m:sup>
              </m:nary>
              <m:r>
                <m:rPr/>
                <m:t>N</m:t>
              </m:r>
              <m:r>
                <m:rPr/>
                <m:t>(</m:t>
              </m:r>
              <m:r>
                <m:rPr/>
                <m:t>y</m:t>
              </m:r>
              <m:r>
                <m:rPr/>
                <m:t>)</m:t>
              </m:r>
              <m:r>
                <m:rPr/>
                <m:t>(</m:t>
              </m:r>
              <m:sSub>
                <m:e>
                  <m:r>
                    <m:rPr/>
                    <m:t>c</m:t>
                  </m:r>
                </m:e>
                <m:sub>
                  <m:r>
                    <m:rPr/>
                    <m:t>c</m:t>
                  </m:r>
                  <m:r>
                    <m:rPr/>
                    <m:t>a</m:t>
                  </m:r>
                  <m:r>
                    <m:rPr/>
                    <m:t>r</m:t>
                  </m:r>
                  <m:r>
                    <m:rPr/>
                    <m:t>e</m:t>
                  </m:r>
                </m:sub>
              </m:sSub>
              <m:r>
                <m:rPr/>
                <m:t>+</m:t>
              </m:r>
              <m:r>
                <m:rPr/>
                <m:t>θ</m:t>
              </m:r>
              <m:sSub>
                <m:e>
                  <m:r>
                    <m:rPr/>
                    <m:t>c</m:t>
                  </m:r>
                </m:e>
                <m:sub>
                  <m:r>
                    <m:rPr/>
                    <m:t>A</m:t>
                  </m:r>
                  <m:r>
                    <m:rPr/>
                    <m:t>R</m:t>
                  </m:r>
                  <m:r>
                    <m:rPr/>
                    <m:t>T</m:t>
                  </m:r>
                </m:sub>
              </m:sSub>
              <m:r>
                <m:rPr/>
                <m:t>)</m:t>
              </m:r>
            </m:e>
          </m:d>
          <m:r>
            <m:rPr/>
            <m:t>+</m:t>
          </m:r>
          <m:r>
            <m:rPr/>
            <m:t>Σ</m:t>
          </m:r>
          <m:sSub>
            <m:e>
              <m:r>
                <m:rPr/>
                <m:t>c</m:t>
              </m:r>
            </m:e>
            <m:sub>
              <m:r>
                <m:rPr/>
                <m:t>l</m:t>
              </m:r>
              <m:r>
                <m:rPr/>
                <m:t>i</m:t>
              </m:r>
              <m:r>
                <m:rPr/>
                <m:t>f</m:t>
              </m:r>
              <m:r>
                <m:rPr/>
                <m:t>e</m:t>
              </m:r>
            </m:sub>
          </m:sSub>
          <m:r>
            <m:rPr/>
            <m:t>.</m:t>
          </m:r>
        </m:oMath>
      </m:oMathPara>
    </w:p>
    <w:bookmarkStart w:id="28" w:name="results"/>
    <w:p>
      <w:pPr>
        <w:pStyle w:val="Heading3"/>
      </w:pPr>
      <w:r>
        <w:t xml:space="preserve">Results</w:t>
      </w:r>
    </w:p>
    <w:bookmarkEnd w:id="28"/>
    <w:p>
      <w:r>
        <w:t xml:space="preserve">Results amd figures will be generated once final methodology is finalized.</w:t>
      </w:r>
    </w:p>
    <w:bookmarkStart w:id="29" w:name="discussion"/>
    <w:p>
      <w:pPr>
        <w:pStyle w:val="Heading3"/>
      </w:pPr>
      <w:r>
        <w:t xml:space="preserve">Discussion</w:t>
      </w:r>
    </w:p>
    <w:bookmarkEnd w:id="29"/>
    <w:bookmarkStart w:id="30" w:name="references"/>
    <w:p>
      <w:pPr>
        <w:pStyle w:val="Heading3"/>
      </w:pPr>
      <w:r>
        <w:t xml:space="preserve">References</w:t>
      </w:r>
    </w:p>
    <w:bookmarkEnd w:id="30"/>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p>
      <w:r>
        <w:t xml:space="preserve">3. Rissel C, Badcock PB, Smith AM, Richters J, Visser RO de, et al. (2014) Heterosexual experience and recent heterosexual encounters among australian adults: the second australian study of health and relationships. Sexual health 11: 416–426.</w:t>
      </w:r>
    </w:p>
    <w:p>
      <w:r>
        <w:t xml:space="preserve">4. Visser RO de, Badcock PB, Rissel C, Richters J, Smith AM, et al. (2014) Safer sex and condom use: findings from the second australian study of health and relationships. Sexual health 11: 495–504.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b0820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1e1ca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fbcfa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d54bedf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