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February</w:t>
      </w:r>
      <w:r>
        <w:t xml:space="preserve"> </w:t>
      </w:r>
      <w:r>
        <w:t xml:space="preserve">05</w:t>
      </w:r>
      <w:r>
        <w:t xml:space="preserve"> </w:t>
      </w:r>
      <w:r>
        <w:t xml:space="preserve">2015</w:t>
      </w:r>
      <w:r>
        <w:t xml:space="preserve"> </w:t>
      </w:r>
    </w:p>
    <w:p>
      <w:r>
        <w:t xml:space="preserve">This document summarises a simple analysis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grwoth rate for the population</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The most recent data value is used for projections beyond the years of available data.</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 with behavioural parameters estimated using date from the Second Australian Study of Health and Relationships</w:t>
      </w:r>
      <w:r>
        <w:t xml:space="preserve"> </w:t>
      </w:r>
      <w:r>
        <w:t xml:space="preserve">[2]</w:t>
      </w:r>
      <w:r>
        <w:t xml:space="preserve">. We also do not consider onward transmission from newly infected partners. As the sexual behaviour for the ART and non-ART population is the same, we use a simple risk equation approach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 costs of providing treatment and care to Medicare ineligibles using previous work for Australian settings</w:t>
      </w:r>
      <w:r>
        <w:t xml:space="preserve"> </w:t>
      </w:r>
      <w:r>
        <w:t xml:space="preserve">[3]</w:t>
      </w:r>
      <w:r>
        <w:t xml:space="preserve">. For sexual partners of Medicare ineligibles we estimate the 'lifetime' cost of providing care and treatment using estimates from the the United States</w:t>
      </w:r>
      <w:r>
        <w:t xml:space="preserve"> </w:t>
      </w:r>
      <w:r>
        <w:t xml:space="preserve">[4]</w:t>
      </w:r>
      <w:r>
        <w:t xml:space="preserve"> </w:t>
      </w:r>
      <w:r>
        <w:t xml:space="preserve">(which were the only estimates available).</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 ranges. Justifications for these parameter ranges are provided in endnotes. The simulations used for the calculations take samples from these ranges assuming a uniform distribution.</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Endnote justification</w:t>
            </w:r>
          </w:p>
        </w:tc>
      </w:tr>
      <w:tr>
        <w:tc>
          <w:p>
            <w:pPr>
              <w:pStyle w:val="Compact"/>
              <w:jc w:val="left"/>
            </w:pPr>
            <w:r>
              <w:rPr>
                <w:b/>
              </w:rPr>
              <w:t xml:space="preserve">Demographic parameters</w:t>
            </w:r>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[400 - 500]</w:t>
            </w:r>
          </w:p>
        </w:tc>
        <w:tc>
          <w:p>
            <w:pPr>
              <w:pStyle w:val="Compact"/>
              <w:jc w:val="left"/>
            </w:pPr>
            <w:r>
              <w:t xml:space="preserve">1</w:t>
            </w:r>
          </w:p>
        </w:tc>
      </w:tr>
      <w:tr>
        <w:tc>
          <w:p>
            <w:pPr>
              <w:pStyle w:val="Compact"/>
              <w:jc w:val="left"/>
            </w:pPr>
            <m:oMath>
              <m:r>
                <m:rPr/>
                <m:t>π</m:t>
              </m:r>
            </m:oMath>
          </w:p>
        </w:tc>
        <w:tc>
          <w:p>
            <w:pPr>
              <w:pStyle w:val="Compact"/>
              <w:jc w:val="left"/>
            </w:pPr>
            <w:r>
              <w:t xml:space="preserve">Multaplicative change in annual population</w:t>
            </w:r>
          </w:p>
        </w:tc>
        <w:tc>
          <w:p>
            <w:pPr>
              <w:pStyle w:val="Compact"/>
              <w:jc w:val="left"/>
            </w:pPr>
            <w:r>
              <w:t xml:space="preserve">[0.98 - 1.02]/yr</w:t>
            </w:r>
          </w:p>
        </w:tc>
        <w:tc>
          <w:p>
            <w:pPr>
              <w:pStyle w:val="Compact"/>
              <w:jc w:val="left"/>
            </w:pPr>
            <w:r>
              <w:t xml:space="preserve">1</w:t>
            </w:r>
          </w:p>
        </w:tc>
      </w:tr>
      <w:tr>
        <w:tc>
          <w:p>
            <w:pPr>
              <w:pStyle w:val="Compact"/>
              <w:jc w:val="left"/>
            </w:pPr>
            <m:oMath>
              <m:sSub>
                <m:e>
                  <m:r>
                    <m:rPr/>
                    <m:t>p</m:t>
                  </m:r>
                </m:e>
                <m:sub>
                  <m:r>
                    <m:rPr/>
                    <m:t>f</m:t>
                  </m:r>
                </m:sub>
              </m:sSub>
            </m:oMath>
          </w:p>
        </w:tc>
        <w:tc>
          <w:p>
            <w:pPr>
              <w:pStyle w:val="Compact"/>
              <w:jc w:val="left"/>
            </w:pPr>
            <w:r>
              <w:t xml:space="preserve">Proportion of population female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m</m:t>
                  </m:r>
                </m:sub>
              </m:sSub>
            </m:oMath>
          </w:p>
        </w:tc>
        <w:tc>
          <w:p>
            <w:pPr>
              <w:pStyle w:val="Compact"/>
              <w:jc w:val="left"/>
            </w:pPr>
            <w:r>
              <w:t xml:space="preserve">Proportion of population heterosexual male</w:t>
            </w:r>
          </w:p>
        </w:tc>
        <w:tc>
          <w:p>
            <w:pPr>
              <w:pStyle w:val="Compact"/>
              <w:jc w:val="left"/>
            </w:pPr>
            <w:r>
              <w:t xml:space="preserve">[0.2 - 0.3]</w:t>
            </w:r>
          </w:p>
        </w:tc>
        <w:tc>
          <w:p>
            <w:pPr>
              <w:pStyle w:val="Compact"/>
              <w:jc w:val="left"/>
            </w:pPr>
            <w:r>
              <w:t xml:space="preserve">1</w:t>
            </w:r>
          </w:p>
        </w:tc>
      </w:tr>
      <w:tr>
        <w:tc>
          <w:p>
            <w:pPr>
              <w:pStyle w:val="Compact"/>
              <w:jc w:val="left"/>
            </w:pPr>
            <m:oMath>
              <m:sSub>
                <m:e>
                  <m:r>
                    <m:rPr/>
                    <m:t>p</m:t>
                  </m:r>
                </m:e>
                <m:sub>
                  <m:r>
                    <m:rPr/>
                    <m:t>g</m:t>
                  </m:r>
                </m:sub>
              </m:sSub>
            </m:oMath>
          </w:p>
        </w:tc>
        <w:tc>
          <w:p>
            <w:pPr>
              <w:pStyle w:val="Compact"/>
              <w:jc w:val="left"/>
            </w:pPr>
            <w:r>
              <w:t xml:space="preserve">Proprtion of population who are GBM</w:t>
            </w:r>
          </w:p>
        </w:tc>
        <w:tc>
          <w:p>
            <w:pPr>
              <w:pStyle w:val="Compact"/>
              <w:jc w:val="left"/>
            </w:pPr>
            <w:r>
              <w:t xml:space="preserve">Given by</w:t>
            </w:r>
            <w:r>
              <w:t xml:space="preserve"> </w:t>
            </w:r>
            <m:oMath>
              <m:r>
                <m:rPr/>
                <m:t>1</m:t>
              </m:r>
              <m:r>
                <m:rPr/>
                <m:t>−</m:t>
              </m:r>
              <m:sSub>
                <m:e>
                  <m:r>
                    <m:rPr/>
                    <m:t>p</m:t>
                  </m:r>
                </m:e>
                <m:sub>
                  <m:r>
                    <m:rPr/>
                    <m:t>f</m:t>
                  </m:r>
                </m:sub>
              </m:sSub>
              <m:r>
                <m:rPr/>
                <m:t>−</m:t>
              </m:r>
              <m:sSub>
                <m:e>
                  <m:r>
                    <m:rPr/>
                    <m:t>p</m:t>
                  </m:r>
                </m:e>
                <m:sub>
                  <m:r>
                    <m:rPr/>
                    <m:t>m</m:t>
                  </m:r>
                </m:sub>
              </m:sSub>
            </m:oMath>
          </w:p>
        </w:tc>
        <w:tc>
          <w:p>
            <w:pPr>
              <w:pStyle w:val="Compact"/>
              <w:jc w:val="left"/>
            </w:pPr>
            <w:r>
              <w:t xml:space="preserve">1</w:t>
            </w:r>
          </w:p>
        </w:tc>
      </w:tr>
      <w:tr>
        <w:tc>
          <w:p>
            <w:pPr>
              <w:pStyle w:val="Compact"/>
              <w:jc w:val="left"/>
            </w:pPr>
            <w:r>
              <w:rPr>
                <w:b/>
              </w:rPr>
              <w:t xml:space="preserve">Clinical parameters</w:t>
            </w:r>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m:oMath>
              <m:r>
                <m:rPr/>
                <m:t>ψ</m:t>
              </m:r>
            </m:oMath>
          </w:p>
        </w:tc>
        <w:tc>
          <w:p>
            <w:pPr>
              <w:pStyle w:val="Compact"/>
              <w:jc w:val="left"/>
            </w:pPr>
            <w:r>
              <w:t xml:space="preserve">Proportion of population taking ART with undetectable viral load</w:t>
            </w:r>
          </w:p>
        </w:tc>
        <w:tc>
          <w:p>
            <w:pPr>
              <w:pStyle w:val="Compact"/>
              <w:jc w:val="left"/>
            </w:pPr>
            <w:r>
              <w:t xml:space="preserve">ATRAS data</w:t>
            </w:r>
            <w:r>
              <w:t xml:space="preserve"> </w:t>
            </w:r>
            <m:oMath>
              <m:r>
                <m:rPr/>
                <m:t>±</m:t>
              </m:r>
            </m:oMath>
            <w:r>
              <w:t xml:space="preserve"> </w:t>
            </w:r>
            <w:r>
              <w:t xml:space="preserve">5%</w:t>
            </w:r>
          </w:p>
        </w:tc>
        <w:tc>
          <w:p>
            <w:pPr>
              <w:pStyle w:val="Compact"/>
              <w:jc w:val="left"/>
            </w:pPr>
            <w:r>
              <w:t xml:space="preserve">2</w:t>
            </w:r>
          </w:p>
        </w:tc>
      </w:tr>
      <w:tr>
        <w:tc>
          <w:p>
            <w:pPr>
              <w:pStyle w:val="Compact"/>
              <w:jc w:val="left"/>
            </w:pPr>
            <w:r>
              <w:rPr>
                <w:b/>
              </w:rPr>
              <w:t xml:space="preserve">HIV behavioural parameters</w:t>
            </w:r>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[60 - 100]</w:t>
            </w:r>
          </w:p>
        </w:tc>
        <w:tc>
          <w:p>
            <w:pPr>
              <w:pStyle w:val="Compact"/>
              <w:jc w:val="left"/>
            </w:pPr>
            <w:r>
              <w:t xml:space="preserve">3</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[0.15 - 0.3]</w:t>
            </w:r>
          </w:p>
        </w:tc>
        <w:tc>
          <w:p>
            <w:pPr>
              <w:pStyle w:val="Compact"/>
              <w:jc w:val="left"/>
            </w:pPr>
            <w:r>
              <w:t xml:space="preserve">4</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[20 - 60]</w:t>
            </w:r>
          </w:p>
        </w:tc>
        <w:tc>
          <w:p>
            <w:pPr>
              <w:pStyle w:val="Compact"/>
              <w:jc w:val="left"/>
            </w:pPr>
            <w:r>
              <w:t xml:space="preserve">5</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[0.5 - 0.65]</w:t>
            </w:r>
          </w:p>
        </w:tc>
        <w:tc>
          <w:p>
            <w:pPr>
              <w:pStyle w:val="Compact"/>
              <w:jc w:val="left"/>
            </w:pPr>
            <w:r>
              <w:t xml:space="preserve">6</w:t>
            </w:r>
          </w:p>
        </w:tc>
      </w:tr>
      <w:tr>
        <w:tc>
          <w:p>
            <w:pPr>
              <w:pStyle w:val="Compact"/>
              <w:jc w:val="left"/>
            </w:pPr>
            <w:r>
              <w:rPr>
                <w:b/>
              </w:rPr>
              <w:t xml:space="preserve">HIV transmission paramaters</w:t>
            </w:r>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[0.0001 - 0.0014]</w:t>
            </w:r>
          </w:p>
        </w:tc>
        <w:tc>
          <w:p>
            <w:pPr>
              <w:pStyle w:val="Compact"/>
              <w:jc w:val="left"/>
            </w:pPr>
            <w:r>
              <w:t xml:space="preserve">7</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[0.0006 - 0.0011]</w:t>
            </w:r>
          </w:p>
        </w:tc>
        <w:tc>
          <w:p>
            <w:pPr>
              <w:pStyle w:val="Compact"/>
              <w:jc w:val="left"/>
            </w:pPr>
            <w:r>
              <w:t xml:space="preserve">7</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[0.01 - 0.019]</w:t>
            </w:r>
          </w:p>
        </w:tc>
        <w:tc>
          <w:p>
            <w:pPr>
              <w:pStyle w:val="Compact"/>
              <w:jc w:val="left"/>
            </w:pPr>
            <w:r>
              <w:t xml:space="preserve">7</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[0.8 - 0.975]</w:t>
            </w:r>
          </w:p>
        </w:tc>
        <w:tc>
          <w:p>
            <w:pPr>
              <w:pStyle w:val="Compact"/>
              <w:jc w:val="left"/>
            </w:pPr>
            <w:r>
              <w:t xml:space="preserve">8</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[0.9 - 0.99]</w:t>
            </w:r>
          </w:p>
        </w:tc>
        <w:tc>
          <w:p>
            <w:pPr>
              <w:pStyle w:val="Compact"/>
              <w:jc w:val="left"/>
            </w:pPr>
            <w:r>
              <w:t xml:space="preserve">9</w:t>
            </w:r>
          </w:p>
        </w:tc>
      </w:tr>
      <w:tr>
        <w:tc>
          <w:p>
            <w:pPr>
              <w:pStyle w:val="Compact"/>
              <w:jc w:val="left"/>
            </w:pPr>
            <w:r>
              <w:rPr>
                <w:b/>
              </w:rPr>
              <w:t xml:space="preserve">Healthcare costs</w:t>
            </w:r>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[$3,738 - $6,231]</w:t>
            </w:r>
          </w:p>
        </w:tc>
        <w:tc>
          <w:p>
            <w:pPr>
              <w:pStyle w:val="Compact"/>
              <w:jc w:val="left"/>
            </w:pPr>
            <w:r>
              <w:t xml:space="preserve">10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[$7,000 - $15,000]</w:t>
            </w:r>
          </w:p>
        </w:tc>
        <w:tc>
          <w:p>
            <w:pPr>
              <w:pStyle w:val="Compact"/>
              <w:jc w:val="left"/>
            </w:pPr>
            <w:r>
              <w:t xml:space="preserve">11</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[$465,000 - $775,000]</w:t>
            </w:r>
          </w:p>
        </w:tc>
        <w:tc>
          <w:p>
            <w:pPr>
              <w:pStyle w:val="Compact"/>
              <w:jc w:val="left"/>
            </w:pPr>
            <w:r>
              <w:t xml:space="preserve">12</w:t>
            </w:r>
          </w:p>
        </w:tc>
      </w:tr>
    </w:tbl>
    <w:p>
      <w:pPr>
        <w:pStyle w:val="Compact"/>
        <w:numPr>
          <w:numId w:val="3"/>
          <w:ilvl w:val="0"/>
        </w:numPr>
      </w:pPr>
      <w:r>
        <w:t xml:space="preserve">The 2013 ATRAS report estimates there are 450 Medicare ineligible PLHIV in Australia</w:t>
      </w:r>
      <w:r>
        <w:t xml:space="preserve"> </w:t>
      </w:r>
      <w:r>
        <w:t xml:space="preserve">[1]</w:t>
      </w:r>
      <w:r>
        <w:t xml:space="preserve">. We assume a range in the population between 400 and 500 PLHIV with the potential for only a small change in population size over time. In the population of 180 at enrolment there were 47 females and 133 males in the cohort with 89 of the males attributing their HIV infection to MSM exposure</w:t>
      </w:r>
      <w:r>
        <w:t xml:space="preserve"> </w:t>
      </w:r>
      <w:r>
        <w:t xml:space="preserve">[1]</w:t>
      </w:r>
      <w:r>
        <w:t xml:space="preserve">. Assuming the same demographic distribution over time, we assume 20-30% of the population is female, another 20-30% of the population are male heterosexuals with the remainder GBM.</w:t>
      </w:r>
      <w:r>
        <w:br w:type="textWrapping"/>
      </w:r>
    </w:p>
    <w:p>
      <w:pPr>
        <w:pStyle w:val="Compact"/>
        <w:numPr>
          <w:numId w:val="3"/>
          <w:ilvl w:val="0"/>
        </w:numPr>
      </w:pPr>
      <w:r>
        <w:t xml:space="preserve">At enrolment 62.8% of ATRAS patients were already receiving ART with 71.8% having undetectable viral load</w:t>
      </w:r>
      <w:r>
        <w:t xml:space="preserve"> </w:t>
      </w:r>
      <w:r>
        <w:t xml:space="preserve">[1]</w:t>
      </w:r>
      <w:r>
        <w:t xml:space="preserve">. After enrolment all patients were put onto ART resulting in 87% having undetectable viral load at 12 months and 96% having undetectable viral load at 24 months</w:t>
      </w:r>
      <w:r>
        <w:t xml:space="preserve"> </w:t>
      </w:r>
      <w:r>
        <w:t xml:space="preserve">[1]</w:t>
      </w:r>
      <w:r>
        <w:t xml:space="preserve">. Based on the ATRAS data we assume the percenatge of Medicare ineligibles on ART increases from 70% to 95% with a range of</w:t>
      </w:r>
      <w:r>
        <w:t xml:space="preserve"> </w:t>
      </w:r>
      <m:oMath>
        <m:r>
          <m:rPr/>
          <m:t>±</m:t>
        </m:r>
      </m:oMath>
      <w:r>
        <w:t xml:space="preserve"> </w:t>
      </w:r>
      <w:r>
        <w:t xml:space="preserve">5% with the proportion with undetecvtable virus increasing from 70% to 96% over two years with a range of</w:t>
      </w:r>
      <w:r>
        <w:t xml:space="preserve"> </w:t>
      </w:r>
      <m:oMath>
        <m:r>
          <m:rPr/>
          <m:t>±</m:t>
        </m:r>
      </m:oMath>
      <w:r>
        <w:t xml:space="preserve"> </w:t>
      </w:r>
      <w:r>
        <w:t xml:space="preserve">5%.</w:t>
      </w:r>
      <w:r>
        <w:br w:type="textWrapping"/>
      </w:r>
    </w:p>
    <w:p>
      <w:pPr>
        <w:pStyle w:val="Compact"/>
        <w:numPr>
          <w:numId w:val="3"/>
          <w:ilvl w:val="0"/>
        </w:numPr>
      </w:pPr>
      <w:r>
        <w:t xml:space="preserve">The Second Australian Study of Health and Relationships reported heterosexual men had an average of 1.4 partners in the previous year (95% CI: 1.3-1.4; median 1) and heterosexual women had an average of 0.98 partners in the previous year (95% CI: 0.95-1; median 1)</w:t>
      </w:r>
      <w:r>
        <w:t xml:space="preserve"> </w:t>
      </w:r>
      <w:r>
        <w:t xml:space="preserve">[5]</w:t>
      </w:r>
      <w:r>
        <w:t xml:space="preserve">. Seventy four percent of all respondents were in a regular partnership (equal to 89% of those sexually active). On average those in a regular pertnership had vaginal intercourse 1.42 times per week (95% CI: 1.34-1.50). This gives a range of 0.95 x 0.9 x 1.34 x 52 = 59.6 to 1.4 x 0.9 x 1.5 x 52 = 98.3 heterosexual acts per year. Based on this data and calculations we assume a range of [60 - 100] acts per year.</w:t>
      </w:r>
      <w:r>
        <w:br w:type="textWrapping"/>
      </w:r>
    </w:p>
    <w:p>
      <w:pPr>
        <w:pStyle w:val="Compact"/>
        <w:numPr>
          <w:numId w:val="3"/>
          <w:ilvl w:val="0"/>
        </w:numPr>
      </w:pPr>
      <w:r>
        <w:t xml:space="preserve">The Second Australian Study of Health and Relationships reported 25.5% and 21.1% of men and women respectively used a condom during most recent sexual encounter involving vaginal sex</w:t>
      </w:r>
      <w:r>
        <w:t xml:space="preserve"> </w:t>
      </w:r>
      <w:r>
        <w:t xml:space="preserve">[6]</w:t>
      </w:r>
      <w:r>
        <w:t xml:space="preserve">. Based on this data we assume a range of [15 - 30]%.</w:t>
      </w:r>
      <w:r>
        <w:br w:type="textWrapping"/>
      </w:r>
    </w:p>
    <w:p>
      <w:pPr>
        <w:pStyle w:val="Compact"/>
        <w:numPr>
          <w:numId w:val="3"/>
          <w:ilvl w:val="0"/>
        </w:numPr>
      </w:pPr>
      <w:r>
        <w:t xml:space="preserve">The Second Australian Study of Health and Relationships reported homosexual men had an average of 6.8 partners in the previous year (95% CI: 5.1-8.5; median 3). Twenty eight percent of homosexual men were in a regular homosexual relationship which we assume involves 1-2 acts of anal intercourse per week with the remaining partnerships being casual with 1-2 acts of anal intercourse per partnership. In terms of sexual acts this data suggests an estimate 0.28 x 2 x 52 = 30 regular acts per year and 6.5 x 2 = 13 casual acts per year - assuming 2 acts of anal intercourse per week for regular partnerships and 2 acts of anal intercourse per casual partner. Based on this data and calculations we assume a range of [20 - 60].</w:t>
      </w:r>
    </w:p>
    <w:p>
      <w:pPr>
        <w:pStyle w:val="Compact"/>
        <w:numPr>
          <w:numId w:val="3"/>
          <w:ilvl w:val="0"/>
        </w:numPr>
      </w:pPr>
      <w:r>
        <w:t xml:space="preserve">The Second Australian Study of Health and Relationships reported 56.7% and 58.9% men engaging in homosexual behaviour used a condom when they last engaged in insertive and receptive anal sex, respectively. Based on this data we assume a range of [50 - 65]%.</w:t>
      </w:r>
      <w:r>
        <w:br w:type="textWrapping"/>
      </w:r>
    </w:p>
    <w:p>
      <w:pPr>
        <w:pStyle w:val="Compact"/>
        <w:numPr>
          <w:numId w:val="3"/>
          <w:ilvl w:val="0"/>
        </w:numPr>
      </w:pPr>
      <w:r>
        <w:t xml:space="preserve">The estimated range for the probaility of HIV transmission through penile-vaginal and anal intercourse are based on systematic reviews and meta-analysis of pooled estimates of female-to-male and male-to-female vaginal transmission and for receptive and insertive anal intercourse</w:t>
      </w:r>
      <w:r>
        <w:t xml:space="preserve"> </w:t>
      </w:r>
      <w:r>
        <w:t xml:space="preserve">[7–9]</w:t>
      </w:r>
      <w:r>
        <w:t xml:space="preserve">.</w:t>
      </w:r>
      <w:r>
        <w:br w:type="textWrapping"/>
      </w:r>
    </w:p>
    <w:p>
      <w:pPr>
        <w:pStyle w:val="Compact"/>
        <w:numPr>
          <w:numId w:val="3"/>
          <w:ilvl w:val="0"/>
        </w:numPr>
      </w:pPr>
      <w:r>
        <w:t xml:space="preserve">This is the per-act reduction in transmission when a condom is used correctly during intercourse. The range we use is based on the results of numerous reviews</w:t>
      </w:r>
      <w:r>
        <w:t xml:space="preserve"> </w:t>
      </w:r>
      <w:r>
        <w:t xml:space="preserve">[10–12]</w:t>
      </w:r>
      <w:r>
        <w:t xml:space="preserve"> </w:t>
      </w:r>
      <w:r>
        <w:t xml:space="preserve">and accounts for the small risk of slippage and breakage</w:t>
      </w:r>
      <w:r>
        <w:t xml:space="preserve">[13]</w:t>
      </w:r>
      <w:r>
        <w:t xml:space="preserve">.</w:t>
      </w:r>
      <w:r>
        <w:br w:type="textWrapping"/>
      </w:r>
    </w:p>
    <w:p>
      <w:pPr>
        <w:pStyle w:val="Compact"/>
        <w:numPr>
          <w:numId w:val="3"/>
          <w:ilvl w:val="0"/>
        </w:numPr>
      </w:pPr>
      <w:r>
        <w:t xml:space="preserve">We assume those with viral suppression have a 96% reduction in transmission to their sexual partners in line with the results from the HPTN-052 trial for those with detectable drug</w:t>
      </w:r>
      <w:r>
        <w:t xml:space="preserve"> </w:t>
      </w:r>
      <w:r>
        <w:t xml:space="preserve">[14]</w:t>
      </w:r>
      <w:r>
        <w:t xml:space="preserve">.</w:t>
      </w:r>
      <w:r>
        <w:br w:type="textWrapping"/>
      </w:r>
    </w:p>
    <w:p>
      <w:pPr>
        <w:numPr>
          <w:numId w:val="3"/>
          <w:ilvl w:val="0"/>
        </w:numPr>
      </w:pPr>
      <w:r>
        <w:t xml:space="preserve">In a recent paper evaluating the cost effectiveness of PrEP interventions in Australia, Scheider et. al.</w:t>
      </w:r>
      <w:r>
        <w:t xml:space="preserve"> </w:t>
      </w:r>
      <w:r>
        <w:t xml:space="preserve">[3]</w:t>
      </w:r>
      <w:r>
        <w:t xml:space="preserve"> </w:t>
      </w:r>
      <w:r>
        <w:t xml:space="preserve">provide estimates with ranges of annual medical costs for PLHIV based on their CD4 count: Medical at CD4</w:t>
      </w:r>
      <w:r>
        <w:t xml:space="preserve"> </w:t>
      </w:r>
      <m:oMath>
        <m:r>
          <m:rPr/>
          <m:t>≥</m:t>
        </m:r>
      </m:oMath>
      <w:r>
        <w:t xml:space="preserve"> </w:t>
      </w:r>
      <w:r>
        <w:t xml:space="preserve">500 cells/</w:t>
      </w:r>
      <m:oMath>
        <m:r>
          <m:rPr/>
          <m:t>μ</m:t>
        </m:r>
      </m:oMath>
      <w:r>
        <w:t xml:space="preserve">L, $3,097 ($1,274-$7,642); Medical at CD4 350-499 cells/</w:t>
      </w:r>
      <m:oMath>
        <m:r>
          <m:rPr/>
          <m:t>μ</m:t>
        </m:r>
      </m:oMath>
      <w:r>
        <w:t xml:space="preserve">L, $4,402 ($1,473-$11,672); Medical at CD4 200-349 cells/</w:t>
      </w:r>
      <m:oMath>
        <m:r>
          <m:rPr/>
          <m:t>μ</m:t>
        </m:r>
      </m:oMath>
      <w:r>
        <w:t xml:space="preserve">L, $4,762 ($1,833-$12,032); and Medical at CD4</w:t>
      </w:r>
      <w:r>
        <w:t xml:space="preserve"> </w:t>
      </w:r>
      <m:oMath>
        <m:r>
          <m:rPr/>
          <m:t>&lt;</m:t>
        </m:r>
      </m:oMath>
      <w:r>
        <w:t xml:space="preserve"> </w:t>
      </w:r>
      <w:r>
        <w:t xml:space="preserve">200 cells/</w:t>
      </w:r>
      <m:oMath>
        <m:r>
          <m:rPr/>
          <m:t>μ</m:t>
        </m:r>
      </m:oMath>
      <w:r>
        <w:t xml:space="preserve"> </w:t>
      </w:r>
      <w:r>
        <w:t xml:space="preserve">L, $7,883($2,465-$42,400). The baseline ATRAS data provides the proportion of patients in each CD4 category: percentage CD4</w:t>
      </w:r>
      <w:r>
        <w:t xml:space="preserve"> </w:t>
      </w:r>
      <m:oMath>
        <m:r>
          <m:rPr/>
          <m:t>≥</m:t>
        </m:r>
      </m:oMath>
      <w:r>
        <w:t xml:space="preserve"> </w:t>
      </w:r>
      <w:r>
        <w:t xml:space="preserve">350 cells/</w:t>
      </w:r>
      <m:oMath>
        <m:r>
          <m:rPr/>
          <m:t>μ</m:t>
        </m:r>
      </m:oMath>
      <w:r>
        <w:t xml:space="preserve">L, 43.9%; percentage CD4 between 200 and 350 cells/</w:t>
      </w:r>
      <m:oMath>
        <m:r>
          <m:rPr/>
          <m:t>μ</m:t>
        </m:r>
      </m:oMath>
      <w:r>
        <w:t xml:space="preserve">L, 29.4%; and percentage CD4</w:t>
      </w:r>
      <w:r>
        <w:t xml:space="preserve"> </w:t>
      </w:r>
      <m:oMath>
        <m:r>
          <m:rPr/>
          <m:t>&lt;</m:t>
        </m:r>
      </m:oMath>
      <w:r>
        <w:t xml:space="preserve"> </w:t>
      </w:r>
      <w:r>
        <w:t xml:space="preserve">200cells/</w:t>
      </w:r>
      <m:oMath>
        <m:r>
          <m:rPr/>
          <m:t>μ</m:t>
        </m:r>
      </m:oMath>
      <w:r>
        <w:t xml:space="preserve">L, 16.7% (with 10% missing). Based on these cost estimates and the ATRAS data (adjusted for missing values) we use an annual medical cost estimate = $4000 x 0.439/(1-0.1) + $4800 x 0.294/(1-0.1) + $7900 x $0.167/(1- 0.1) which gives a value of $4985. We assume a range of</w:t>
      </w:r>
      <w:r>
        <w:t xml:space="preserve"> </w:t>
      </w:r>
      <m:oMath>
        <m:r>
          <m:rPr/>
          <m:t>±</m:t>
        </m:r>
      </m:oMath>
      <w:r>
        <w:t xml:space="preserve"> </w:t>
      </w:r>
      <w:r>
        <w:t xml:space="preserve">25%.</w:t>
      </w:r>
    </w:p>
    <w:p>
      <w:pPr>
        <w:pStyle w:val="Compact"/>
        <w:numPr>
          <w:numId w:val="3"/>
          <w:ilvl w:val="0"/>
        </w:numPr>
      </w:pPr>
      <w:r>
        <w:t xml:space="preserve">At enrolement 83% of the ATRAS cohort on ART were taking Tenofovir/Emtrcitabine (Truvada) as the 'backbone' of their regime. This means the vast majority of those on treatment are taking first-line drugs. For this analysis we assume all patients are on and remain on first-line ART over the period of analysis. From Scheider et. al. the average annual cost of first-line drugs is $10,685 ($6,945-$14,424)</w:t>
      </w:r>
      <w:r>
        <w:t xml:space="preserve"> </w:t>
      </w:r>
      <w:r>
        <w:t xml:space="preserve">[3]</w:t>
      </w:r>
      <w:r>
        <w:t xml:space="preserve">. Using this value we assume a range in the annual ART cost of $-8000. Note Scheider et. al. estimate annual drug costs for third and higher lines of ART to be greater than $28,000 per year.</w:t>
      </w:r>
      <w:r>
        <w:br w:type="textWrapping"/>
      </w:r>
    </w:p>
    <w:p>
      <w:pPr>
        <w:numPr>
          <w:numId w:val="3"/>
          <w:ilvl w:val="0"/>
        </w:numPr>
      </w:pPr>
      <w:r>
        <w:t xml:space="preserve">If a partner of a Medicare ineligible becomes infected with HIV then they will require care and eventually treatment while they are living in Australia. As we are not tracking their infection progression in this analysis we use an estimate for the lifetime cost of providing care and treatment. We found no data specifically for Australia, however, Schackman et al estimated the lifetime cost of HIV care in the United States in 2006 at $618,900 USD (undiscounted) for adults who initiate ART with CD4</w:t>
      </w:r>
      <w:r>
        <w:t xml:space="preserve"> </w:t>
      </w:r>
      <m:oMath>
        <m:r>
          <m:rPr/>
          <m:t>&lt;</m:t>
        </m:r>
      </m:oMath>
      <w:r>
        <w:t xml:space="preserve"> </w:t>
      </w:r>
      <w:r>
        <w:t xml:space="preserve">350 cells/</w:t>
      </w:r>
      <m:oMath>
        <m:r>
          <m:rPr/>
          <m:t>μ</m:t>
        </m:r>
      </m:oMath>
      <w:r>
        <w:t xml:space="preserve"> </w:t>
      </w:r>
      <w:r>
        <w:t xml:space="preserve">L with a life expectancy of 24.2 years</w:t>
      </w:r>
      <w:r>
        <w:t xml:space="preserve"> </w:t>
      </w:r>
      <w:r>
        <w:t xml:space="preserve">[4]</w:t>
      </w:r>
      <w:r>
        <w:t xml:space="preserve">. While pharmaceuticals are priced at a premium compared to Australia, this cost equates to $25,000 (undiscounted) per year of living with HIV which is comparable to the costs presented in endnote 11. For this analysis we use a value of $620,000 for the lifetime cost of caring and treating someone who becomes infected with HIV and assume a range of</w:t>
      </w:r>
      <w:r>
        <w:t xml:space="preserve"> </w:t>
      </w:r>
      <m:oMath>
        <m:r>
          <m:rPr/>
          <m:t>±</m:t>
        </m:r>
      </m:oMath>
      <w:r>
        <w:t xml:space="preserve"> </w:t>
      </w:r>
      <w:r>
        <w:t xml:space="preserve">25%.</w:t>
      </w:r>
    </w:p>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to give the probability of transmission to a HIV-negative sexual partner</w:t>
      </w:r>
    </w:p>
    <w:p>
      <m:oMathPara>
        <m:oMathParaPr>
          <m:jc m:val="center"/>
        </m:oMathParaPr>
        <m:oMath>
          <m:r>
            <m:rPr/>
            <m:t>β</m:t>
          </m:r>
          <m:sSub>
            <m:e>
              <m:r>
                <m:rPr/>
                <m:t>ʺ</m:t>
              </m:r>
            </m:e>
            <m:sub>
              <m:r>
                <m:rPr/>
                <m:t>x</m:t>
              </m:r>
            </m:sub>
          </m:sSub>
          <m:r>
            <m:rPr/>
            <m:t>=</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r>
            <m:rPr/>
            <m:t>β</m:t>
          </m:r>
          <m:sSub>
            <m:e>
              <m:r>
                <m:rPr/>
                <m:t>ʺ</m:t>
              </m:r>
            </m:e>
            <m:sub>
              <m:r>
                <m:rPr/>
                <m:t>x</m:t>
              </m:r>
            </m:sub>
          </m:sSub>
          <m:r>
            <m:rPr/>
            <m:t>=</m:t>
          </m:r>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Using this probability we can the number of new infections each year</w:t>
      </w:r>
      <w:r>
        <w:t xml:space="preserve"> </w:t>
      </w:r>
      <m:oMath>
        <m:sSub>
          <m:e>
            <m:r>
              <m:rPr/>
              <m:t>I</m:t>
            </m:r>
          </m:e>
          <m:sub>
            <m:r>
              <m:rPr/>
              <m:t>x</m:t>
            </m:r>
          </m:sub>
        </m:sSub>
      </m:oMath>
      <w:r>
        <w:t xml:space="preserve"> </w:t>
      </w:r>
      <w:r>
        <w:t xml:space="preserve">is given by a binomial distribution</w:t>
      </w:r>
    </w:p>
    <w:p>
      <m:oMathPara>
        <m:oMathParaPr>
          <m:jc m:val="center"/>
        </m:oMathParaPr>
        <m:oMath>
          <m:sSub>
            <m:e>
              <m:r>
                <m:rPr/>
                <m:t>I</m:t>
              </m:r>
            </m:e>
            <m:sub>
              <m:r>
                <m:rPr/>
                <m:t>x</m:t>
              </m:r>
            </m:sub>
          </m:sSub>
          <m:r>
            <m:rPr/>
            <m:t>∼</m:t>
          </m:r>
          <m:r>
            <m:rPr/>
            <m:t>b</m:t>
          </m:r>
          <m:r>
            <m:rPr/>
            <m:t>i</m:t>
          </m:r>
          <m:r>
            <m:rPr/>
            <m:t>n</m:t>
          </m:r>
          <m:r>
            <m:rPr/>
            <m:t>o</m:t>
          </m:r>
          <m:r>
            <m:rPr/>
            <m:t>m</m:t>
          </m:r>
          <m:r>
            <m:rPr/>
            <m:t>(</m:t>
          </m:r>
          <m:r>
            <m:rPr/>
            <m:t>N</m:t>
          </m:r>
          <m:sSub>
            <m:e>
              <m:r>
                <m:rPr/>
                <m:t>p</m:t>
              </m:r>
            </m:e>
            <m:sub>
              <m:r>
                <m:rPr/>
                <m:t>x</m:t>
              </m:r>
            </m:sub>
          </m:sSub>
          <m:r>
            <m:rPr/>
            <m:t>,</m:t>
          </m:r>
          <m:r>
            <m:rPr/>
            <m:t>β</m:t>
          </m:r>
          <m:sSub>
            <m:e>
              <m:r>
                <m:rPr/>
                <m:t>ʺ</m:t>
              </m:r>
            </m:e>
            <m:sub>
              <m:r>
                <m:rPr/>
                <m:t>x</m:t>
              </m:r>
            </m:sub>
          </m:sSub>
          <m:r>
            <m:rPr/>
            <m:t>)</m:t>
          </m:r>
          <m:r>
            <m:rPr/>
            <m:t>.</m:t>
          </m:r>
        </m:oMath>
      </m:oMathPara>
    </w:p>
    <w:p>
      <w:r>
        <w:t xml:space="preserve">For large N and</w:t>
      </w:r>
      <w:r>
        <w:t xml:space="preserve"> </w:t>
      </w:r>
      <m:oMath>
        <m:r>
          <m:rPr/>
          <m:t>β</m:t>
        </m:r>
        <m:sSub>
          <m:e>
            <m:r>
              <m:rPr/>
              <m:t>ʺ</m:t>
            </m:r>
          </m:e>
          <m:sub>
            <m:r>
              <m:rPr/>
              <m:t>x</m:t>
            </m:r>
          </m:sub>
        </m:sSub>
      </m:oMath>
      <w:r>
        <w:t xml:space="preserve"> </w:t>
      </w:r>
      <w:r>
        <w:t xml:space="preserve">this is approximately equal to</w:t>
      </w:r>
    </w:p>
    <w:p>
      <m:oMathPara>
        <m:oMathParaPr>
          <m:jc m:val="center"/>
        </m:oMathParaPr>
        <m:oMath>
          <m:sSub>
            <m:e>
              <m:r>
                <m:rPr/>
                <m:t>I</m:t>
              </m:r>
            </m:e>
            <m:sub>
              <m:r>
                <m:rPr/>
                <m:t>x</m:t>
              </m:r>
            </m:sub>
          </m:sSub>
          <m:r>
            <m:rPr/>
            <m:t>=</m:t>
          </m:r>
          <m:r>
            <m:rPr/>
            <m:t>N</m:t>
          </m:r>
          <m:sSub>
            <m:e>
              <m:r>
                <m:rPr/>
                <m:t>p</m:t>
              </m:r>
            </m:e>
            <m:sub>
              <m:r>
                <m:rPr/>
                <m:t>x</m:t>
              </m:r>
            </m:sub>
          </m:sSub>
          <m:r>
            <m:rPr/>
            <m:t>β</m:t>
          </m:r>
          <m:sSub>
            <m:e>
              <m:r>
                <m:rPr/>
                <m:t>ʺ</m:t>
              </m:r>
            </m:e>
            <m:sub>
              <m:r>
                <m:rPr/>
                <m:t>x</m:t>
              </m:r>
            </m:sub>
          </m:sSub>
          <m:r>
            <m:rPr/>
            <m:t>=</m:t>
          </m:r>
          <m:r>
            <m:rPr/>
            <m:t>N</m:t>
          </m:r>
          <m:sSub>
            <m:e>
              <m:r>
                <m:rPr/>
                <m:t>p</m:t>
              </m:r>
            </m:e>
            <m:sub>
              <m:r>
                <m:rPr/>
                <m:t>x</m:t>
              </m:r>
            </m:sub>
          </m:sSub>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r>
            <m:rPr/>
            <m:t>(</m:t>
          </m:r>
          <m:r>
            <m:rPr/>
            <m:t>1</m:t>
          </m:r>
          <m:r>
            <m:rPr/>
            <m:t>−</m:t>
          </m:r>
          <m:r>
            <m:rPr/>
            <m:t>θ</m:t>
          </m:r>
          <m:r>
            <m:rPr/>
            <m:t>ψ</m:t>
          </m:r>
          <m:sSub>
            <m:e>
              <m:r>
                <m:rPr/>
                <m:t>ε</m:t>
              </m:r>
            </m:e>
            <m:sub>
              <m:r>
                <m:rPr/>
                <m:t>A</m:t>
              </m:r>
              <m:r>
                <m:rPr/>
                <m:t>R</m:t>
              </m:r>
              <m:r>
                <m:rPr/>
                <m:t>T</m:t>
              </m:r>
            </m:sub>
          </m:sSub>
          <m:r>
            <m:rPr/>
            <m:t>)</m:t>
          </m:r>
          <m:sSub>
            <m:e>
              <m:r>
                <m:rPr/>
                <m:t>β</m:t>
              </m:r>
            </m:e>
            <m:sub>
              <m:r>
                <m:rPr/>
                <m:t>x</m:t>
              </m:r>
            </m:sub>
          </m:sSub>
          <m:r>
            <m:rPr/>
            <m:t>,</m:t>
          </m:r>
        </m:oMath>
      </m:oMathPara>
    </w:p>
    <w:p>
      <w:r>
        <w:t xml:space="preserve">and the number of new infections is given by a risk equation.</w:t>
      </w:r>
      <w:r>
        <w:t xml:space="preserve"> </w:t>
      </w:r>
      <w:r>
        <w:t xml:space="preserve"> </w:t>
      </w:r>
      <w:r>
        <w:t xml:space="preserve">Given the relatively small population size and the high levels of ART coverage and viral suppression, likely resulting in a small number so infections, we use the stochastic approach in this anaylsis.</w:t>
      </w:r>
    </w:p>
    <w:p>
      <w:r>
        <w:t xml:space="preserve">Adding all the population terms together gives the overall number of new infections</w:t>
      </w:r>
      <w:r>
        <w:t xml:space="preserve"> </w:t>
      </w:r>
      <m:oMath>
        <m:r>
          <m:rPr/>
          <m:t>I</m:t>
        </m:r>
        <m:r>
          <m:rPr/>
          <m:t>(</m:t>
        </m:r>
        <m:r>
          <m:rPr/>
          <m:t>y</m:t>
        </m:r>
        <m:r>
          <m:rPr/>
          <m:t>)</m:t>
        </m:r>
      </m:oMath>
      <w:r>
        <w:t xml:space="preserve"> </w:t>
      </w:r>
      <w:r>
        <w:t xml:space="preserve">in a given year</w:t>
      </w:r>
      <w:r>
        <w:t xml:space="preserve"> </w:t>
      </w:r>
      <m:oMath>
        <m:r>
          <m:rPr/>
          <m:t>y</m:t>
        </m:r>
      </m:oMath>
      <w:r>
        <w:t xml:space="preserve">. 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is then given by</w:t>
      </w:r>
    </w:p>
    <w:p>
      <m:oMathPara>
        <m:oMathParaPr>
          <m:jc m:val="center"/>
        </m:oMathParaPr>
        <m:oMath>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oMath>
      </m:oMathPara>
    </w:p>
    <w:p>
      <w:r>
        <w:t xml:space="preserve">and the future costs of providing care and treatment to newly infected partners of Medicare ineligibles is</w:t>
      </w:r>
      <w:r>
        <w:t xml:space="preserve"> </w:t>
      </w:r>
      <m:oMath>
        <m:r>
          <m:rPr/>
          <m:t>Σ</m:t>
        </m:r>
        <m:sSub>
          <m:e>
            <m:r>
              <m:rPr/>
              <m:t>c</m:t>
            </m:r>
          </m:e>
          <m:sub>
            <m:r>
              <m:rPr/>
              <m:t>l</m:t>
            </m:r>
            <m:r>
              <m:rPr/>
              <m:t>i</m:t>
            </m:r>
            <m:r>
              <m:rPr/>
              <m:t>f</m:t>
            </m:r>
            <m:r>
              <m:rPr/>
              <m:t>e</m:t>
            </m:r>
          </m:sub>
        </m:sSub>
      </m:oMath>
      <w:r>
        <w:t xml:space="preserve">.</w:t>
      </w:r>
    </w:p>
    <w:bookmarkStart w:id="28" w:name="simulations"/>
    <w:p>
      <w:pPr>
        <w:pStyle w:val="Heading4"/>
      </w:pPr>
      <w:r>
        <w:t xml:space="preserve">Simulations</w:t>
      </w:r>
    </w:p>
    <w:bookmarkEnd w:id="28"/>
    <w:p>
      <w:r>
        <w:t xml:space="preserve">To perform this analysis, we generated 1000 input parameter sets by sampling from each of the parameter ranges in Table 1. For each of these parameter sets we then ran 20 simulations to account for stochastic variations. Each simulation was ran for 6 since the enrolment of patients into ATRAS. Summary statistics were then calculated using the results from each simulation.</w:t>
      </w:r>
    </w:p>
    <w:bookmarkStart w:id="29" w:name="results"/>
    <w:p>
      <w:pPr>
        <w:pStyle w:val="Heading3"/>
      </w:pPr>
      <w:r>
        <w:t xml:space="preserve">Results</w:t>
      </w:r>
    </w:p>
    <w:bookmarkEnd w:id="29"/>
    <w:p>
      <w:r>
        <w:t xml:space="preserve">At the time of enrolment for ATRAS the incidence in partners of Medicare ineligible people is 39 (IQR:29 - 49). AS a percentage of the infected this number of new infections equates to 9.3% of the population (Figure 1). In comparison in 2013 there was an estimated 26,640 PLHIV in Australia overall (with 9.4% unidagnosed) and an estimated 912 new infections</w:t>
      </w:r>
      <w:r>
        <w:t xml:space="preserve"> </w:t>
      </w:r>
      <w:r>
        <w:t xml:space="preserve">[15]</w:t>
      </w:r>
      <w:r>
        <w:t xml:space="preserve">. This equates to 3.4% rate of new infections per population living with HIV. According to recent estimates of the HIV treatment and cascade 17,661 PLHIV received ART in 2013 (approximatley 66% of the overall number of PLHIV) with 93% having an undetectable viral load</w:t>
      </w:r>
      <w:r>
        <w:t xml:space="preserve"> </w:t>
      </w:r>
      <w:r>
        <w:t xml:space="preserve">[16]</w:t>
      </w:r>
      <w:r>
        <w:t xml:space="preserve">. Nationally this means 62% of the overall population of PLHIV have viral suppression (compared to 43% of the ATRAS cohort at enrolement). Using the national estimates for viral suppression we obtain an incidence rate 6.6% per population of Medicare ineligbles.</w:t>
      </w:r>
    </w:p>
    <w:p>
      <w:r>
        <w:t xml:space="preserve">The impact of expanding ATRAS to all Medicare ineligbiles and acheiving almost universal viral suppression is to reduce annual new infections to 9 (IQR:6 - 12) after 5 years (Figure 1). Corresponding to 2% of the Medicare ineligible population.</w:t>
      </w:r>
    </w:p>
    <w:p>
      <w:r>
        <w:rPr>
          <w:b/>
        </w:rPr>
        <w:t xml:space="preserve">Figure 1</w:t>
      </w:r>
      <w:r>
        <w:t xml:space="preserve"> </w:t>
      </w:r>
      <w:r>
        <w:t xml:space="preserve">- Annual new infections in partners of Medicare ineligibles for each simulation. The grey lines represent the baseline simulations while the blue lines are for the expansion of ART to all Medicare ineligibles. The black and dark blue lines show the median number of new infections for the Baseline and expanded ATRAS simulations respectively.</w:t>
      </w:r>
    </w:p>
    <w:p>
      <w:r>
        <w:drawing>
          <wp:inline>
            <wp:extent cx="3695700" cy="2768600"/>
            <wp:effectExtent b="0" l="0" r="0" t="0"/>
            <wp:docPr descr="" id="1" name="Picture"/>
            <a:graphic>
              <a:graphicData uri="http://schemas.openxmlformats.org/drawingml/2006/picture">
                <pic:pic>
                  <pic:nvPicPr>
                    <pic:cNvPr descr="Medicare_Ineligibles_files/figure-docx/insertyplots1-1.png" id="0" name="Picture"/>
                    <pic:cNvPicPr>
                      <a:picLocks noChangeArrowheads="1" noChangeAspect="1"/>
                    </pic:cNvPicPr>
                  </pic:nvPicPr>
                  <pic:blipFill>
                    <a:blip r:embed="rId30"/>
                    <a:stretch>
                      <a:fillRect/>
                    </a:stretch>
                  </pic:blipFill>
                  <pic:spPr bwMode="auto">
                    <a:xfrm>
                      <a:off x="0" y="0"/>
                      <a:ext cx="3695700" cy="2768600"/>
                    </a:xfrm>
                    <a:prstGeom prst="rect">
                      <a:avLst/>
                    </a:prstGeom>
                    <a:noFill/>
                    <a:ln w="9525">
                      <a:noFill/>
                      <a:headEnd/>
                      <a:tailEnd/>
                    </a:ln>
                  </pic:spPr>
                </pic:pic>
              </a:graphicData>
            </a:graphic>
          </wp:inline>
        </w:drawing>
      </w:r>
    </w:p>
    <w:p>
      <w:r>
        <w:t xml:space="preserve">Figure 2 shows the distributions for the cumulative number of new infections in partners of Medicare ineligibles for the baseline scenario and if ART is succesfully provided to all Medicare ineligibles. Providing treatment to all Medicare ineligibles will avert a median of 139 new infections (IQR: 103.5 - 174.5).</w:t>
      </w:r>
    </w:p>
    <w:p>
      <w:r>
        <w:rPr>
          <w:b/>
        </w:rPr>
        <w:t xml:space="preserve">Figure 2</w:t>
      </w:r>
      <w:r>
        <w:t xml:space="preserve"> </w:t>
      </w:r>
      <w:r>
        <w:t xml:space="preserve">- Total number of number of new infections (left) and the distribution in infections averted (right) over 5 years since the exapansion of ATRAS.</w:t>
      </w:r>
    </w:p>
    <w:p>
      <w:r>
        <w:drawing>
          <wp:inline>
            <wp:extent cx="5537200" cy="2768600"/>
            <wp:effectExtent b="0" l="0" r="0" t="0"/>
            <wp:docPr descr="" id="1" name="Picture"/>
            <a:graphic>
              <a:graphicData uri="http://schemas.openxmlformats.org/drawingml/2006/picture">
                <pic:pic>
                  <pic:nvPicPr>
                    <pic:cNvPr descr="Medicare_Ineligibles_files/figure-docx/insertyplots2-1.png" id="0" name="Picture"/>
                    <pic:cNvPicPr>
                      <a:picLocks noChangeArrowheads="1" noChangeAspect="1"/>
                    </pic:cNvPicPr>
                  </pic:nvPicPr>
                  <pic:blipFill>
                    <a:blip r:embed="rId31"/>
                    <a:stretch>
                      <a:fillRect/>
                    </a:stretch>
                  </pic:blipFill>
                  <pic:spPr bwMode="auto">
                    <a:xfrm>
                      <a:off x="0" y="0"/>
                      <a:ext cx="5537200" cy="2768600"/>
                    </a:xfrm>
                    <a:prstGeom prst="rect">
                      <a:avLst/>
                    </a:prstGeom>
                    <a:noFill/>
                    <a:ln w="9525">
                      <a:noFill/>
                      <a:headEnd/>
                      <a:tailEnd/>
                    </a:ln>
                  </pic:spPr>
                </pic:pic>
              </a:graphicData>
            </a:graphic>
          </wp:inline>
        </w:drawing>
      </w:r>
    </w:p>
    <w:p>
      <w:pPr>
        <w:pStyle w:val="SourceCode"/>
      </w:pPr>
      <w:r>
        <w:rPr>
          <w:rStyle w:val="VerbatimChar"/>
        </w:rPr>
        <w:t xml:space="preserve">## NULL</w:t>
      </w:r>
    </w:p>
    <w:p>
      <w:r>
        <w:t xml:space="preserve">Figure 3 shows the cumulative costs for providing ART to Medicare ineligible people and the resulting lifetime cost of providing care and treatment to the partners infected during this period. Providing ART to Medicare ineligibles over 5 years is estimated to a median cost of $38,800,000 (IQR: $33,627,956 - $43,975,309). For partners who become infected during this time the undisconted cost for providing them with care and treatment over the rest of their life is $54,491,013 (IQR: $40,222,980 - $68,759,046). Adding the cost of providing treatment to Medicare ineligibles to the lifetime care cost for newly infected partners for each simulation and taking the median gives an estimated cost of $54,491,013 (IQR: $78,687,208 - $107,952,966). This cost is lower than the cost of providing care and treatment to newly infected people over their lifetime under the baseline scenario (median $141,098,049:IQR $106,096,548 - $176,099,549). Providing ART to Medicare ineligibles results in a saving over the longterm.</w:t>
      </w:r>
    </w:p>
    <w:p>
      <w:r>
        <w:rPr>
          <w:b/>
        </w:rPr>
        <w:t xml:space="preserve">Figure 3</w:t>
      </w:r>
      <w:r>
        <w:t xml:space="preserve"> </w:t>
      </w:r>
      <w:r>
        <w:t xml:space="preserve">- Median total costs for providing all Medicare ineligbles with ART and the lifetime care and treatment costs for partners of Medicare Ineligibles who become infected. The bars show the interquartile range in total costs across all simulations.</w:t>
      </w:r>
    </w:p>
    <w:p>
      <w:r>
        <w:drawing>
          <wp:inline>
            <wp:extent cx="5537200" cy="2768600"/>
            <wp:effectExtent b="0" l="0" r="0" t="0"/>
            <wp:docPr descr="" id="1" name="Picture"/>
            <a:graphic>
              <a:graphicData uri="http://schemas.openxmlformats.org/drawingml/2006/picture">
                <pic:pic>
                  <pic:nvPicPr>
                    <pic:cNvPr descr="Medicare_Ineligibles_files/figure-docx/insertyplots3-1.png" id="0" name="Picture"/>
                    <pic:cNvPicPr>
                      <a:picLocks noChangeArrowheads="1" noChangeAspect="1"/>
                    </pic:cNvPicPr>
                  </pic:nvPicPr>
                  <pic:blipFill>
                    <a:blip r:embed="rId32"/>
                    <a:stretch>
                      <a:fillRect/>
                    </a:stretch>
                  </pic:blipFill>
                  <pic:spPr bwMode="auto">
                    <a:xfrm>
                      <a:off x="0" y="0"/>
                      <a:ext cx="5537200" cy="2768600"/>
                    </a:xfrm>
                    <a:prstGeom prst="rect">
                      <a:avLst/>
                    </a:prstGeom>
                    <a:noFill/>
                    <a:ln w="9525">
                      <a:noFill/>
                      <a:headEnd/>
                      <a:tailEnd/>
                    </a:ln>
                  </pic:spPr>
                </pic:pic>
              </a:graphicData>
            </a:graphic>
          </wp:inline>
        </w:drawing>
      </w:r>
    </w:p>
    <w:bookmarkStart w:id="33" w:name="references"/>
    <w:p>
      <w:pPr>
        <w:pStyle w:val="Heading3"/>
      </w:pPr>
      <w:r>
        <w:t xml:space="preserve">References</w:t>
      </w:r>
    </w:p>
    <w:bookmarkEnd w:id="33"/>
    <w:p>
      <w:r>
        <w:t xml:space="preserve">1. Petoumenos K (2013) The australian hIV observational database temporary residents access study (aTRAS): one year follow-up.</w:t>
      </w:r>
    </w:p>
    <w:p>
      <w:r>
        <w:t xml:space="preserve">2. Pitts M, Holt M, Mercer CH (2014) Introduction to the special issue on the second australian study of health and relationships. Sexual health 11: 381–382.</w:t>
      </w:r>
    </w:p>
    <w:p>
      <w:r>
        <w:t xml:space="preserve">3. Schneider K, Gray RT, Wilson DP (2014) A cost-effectiveness analysis of hIV pre-exposure prophylaxis for men who have sex with men in australia. Clinical infectious diseases 58: 1027–1034.</w:t>
      </w:r>
    </w:p>
    <w:p>
      <w:r>
        <w:t xml:space="preserve">4. Schackman BR, Gebo KA, Walensky RP, Losina E, Muccio T, et al. (2006) The lifetime cost of current human immunodeficiency virus care in the united states. Medical care 44: 990–997.</w:t>
      </w:r>
    </w:p>
    <w:p>
      <w:r>
        <w:t xml:space="preserve">5. Rissel C, Badcock PB, Smith AM, Richters J, Visser RO de, et al. (2014) Heterosexual experience and recent heterosexual encounters among australian adults: the second australian study of health and relationships. Sexual health 11: 416–426.</w:t>
      </w:r>
    </w:p>
    <w:p>
      <w:r>
        <w:t xml:space="preserve">6. Visser RO de, Badcock PB, Rissel C, Richters J, Smith AM, et al. (2014) Safer sex and condom use: findings from the second australian study of health and relationships. Sexual health 11: 495–504.</w:t>
      </w:r>
    </w:p>
    <w:p>
      <w:r>
        <w:t xml:space="preserve">7. Boily M-c, Baggaley RF, Wang L, Masse B, White RG, et al. (2009) Heterosexual risk of hIV-1 infection per sexual act: systematic review and meta-analysis of observational studies. Lancet Infectious Diseases 9: 118.</w:t>
      </w:r>
    </w:p>
    <w:p>
      <w:r>
        <w:t xml:space="preserve">8. Patel P, Borkowf CB, Brooks JT, Lasry A, Lansky A, et al. (2014) Estimating per-act hIV transmission risk: a systematic review. Aids 28: 1509–1519.</w:t>
      </w:r>
    </w:p>
    <w:p>
      <w:r>
        <w:t xml:space="preserve">9. Jin F, Jansson J, Law M, Prestage GP, Zablotska I, et al. (2010) Per-contact probability of hIV transmission in homosexual men in sydney in the era of hAART. AIDS (London, England) 24: 907–913.</w:t>
      </w:r>
    </w:p>
    <w:p>
      <w:r>
        <w:t xml:space="preserve">10. Pinkerton SD, Abramson PR (1997) Effectiveness of condoms in preventing hIV transmission. Social science &amp; medicine (1982) 44: 1303–1312.</w:t>
      </w:r>
    </w:p>
    <w:p>
      <w:r>
        <w:t xml:space="preserve">11. Weller S, Davis K (2002) Condom effectiveness in reducing heterosexual hIV transmission. Cochrane Database Syst Rev 1: 003255.</w:t>
      </w:r>
    </w:p>
    <w:p>
      <w:r>
        <w:t xml:space="preserve">12. Holmes KK, Levine R, Weaver M (2004) Effectiveness of condoms in preventing sexually transmitted infections. Bulletin of the World Health Organization 82: 454–461.</w:t>
      </w:r>
    </w:p>
    <w:p>
      <w:r>
        <w:t xml:space="preserve">13. Reece M, Herbenick D, Sanders S a, Monahan P, Temkit M, et al. (2008) Breakage, slippage and acceptability outcomes of a condom fitted to penile dimensions. Sexually transmitted infections 84: 143–149.</w:t>
      </w:r>
    </w:p>
    <w:p>
      <w:r>
        <w:t xml:space="preserve">14. Cohen M, Chen Y, McCauley M, Gamble T, Hosseinipour M, et al. (2011) Prevention of hIV-1 infection with early antiretroviral therapy. New England Journal of Medicine.</w:t>
      </w:r>
    </w:p>
    <w:p>
      <w:r>
        <w:t xml:space="preserve">15. Jansson J, Kerr CC, Mallitt K-A, Wu J, T GR, et al. (n.d.) Inferring hIV incidence from case surveillance with cD4 counts. submitted to AIDS.</w:t>
      </w:r>
    </w:p>
    <w:p>
      <w:r>
        <w:t xml:space="preserve">16. Wilson DP (2014) The hIV care and treatment cascade in australia. Authors calculations.</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ba4f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07173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c5bb3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