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Toc28744767"/>
      <w:bookmarkStart w:id="1" w:name="_Toc28746535"/>
      <w:bookmarkStart w:id="2" w:name="_Toc43111426"/>
      <w:bookmarkStart w:id="3" w:name="_Toc42931271"/>
      <w:bookmarkStart w:id="4" w:name="_Toc28743415"/>
      <w:bookmarkStart w:id="116" w:name="_GoBack"/>
      <w:bookmarkEnd w:id="116"/>
    </w:p>
    <w:p>
      <w:pPr>
        <w:pStyle w:val="3"/>
        <w:ind w:left="-40" w:firstLine="40"/>
        <w:jc w:val="center"/>
        <w:rPr>
          <w:rFonts w:ascii="黑体" w:eastAsia="黑体"/>
          <w:b w:val="0"/>
          <w:bCs/>
          <w:sz w:val="32"/>
        </w:rPr>
      </w:pPr>
      <w:bookmarkStart w:id="5" w:name="_Toc43197400"/>
      <w:bookmarkStart w:id="6" w:name="_Toc44472197"/>
      <w:r>
        <w:rPr>
          <w:rFonts w:hint="eastAsia" w:ascii="黑体" w:eastAsia="黑体"/>
          <w:b w:val="0"/>
          <w:bCs/>
          <w:sz w:val="32"/>
        </w:rPr>
        <w:t>专利申请号标准</w:t>
      </w:r>
      <w:bookmarkEnd w:id="5"/>
      <w:bookmarkEnd w:id="6"/>
    </w:p>
    <w:p>
      <w:pPr>
        <w:pStyle w:val="3"/>
        <w:ind w:left="-40" w:firstLine="40"/>
        <w:jc w:val="both"/>
        <w:rPr>
          <w:sz w:val="21"/>
        </w:rPr>
      </w:pPr>
      <w:bookmarkStart w:id="7" w:name="_Toc43197401"/>
    </w:p>
    <w:p>
      <w:pPr>
        <w:pStyle w:val="3"/>
        <w:ind w:left="-40" w:firstLine="40"/>
        <w:jc w:val="both"/>
        <w:rPr>
          <w:rFonts w:hint="eastAsia"/>
          <w:sz w:val="21"/>
        </w:rPr>
      </w:pPr>
      <w:bookmarkStart w:id="8" w:name="_Toc44472198"/>
      <w:r>
        <w:rPr>
          <w:rFonts w:hint="eastAsia"/>
          <w:sz w:val="21"/>
        </w:rPr>
        <w:t>1   范围</w:t>
      </w:r>
      <w:bookmarkEnd w:id="0"/>
      <w:bookmarkEnd w:id="1"/>
      <w:bookmarkEnd w:id="2"/>
      <w:bookmarkEnd w:id="3"/>
      <w:bookmarkEnd w:id="4"/>
      <w:bookmarkEnd w:id="7"/>
      <w:bookmarkEnd w:id="8"/>
    </w:p>
    <w:p>
      <w:pPr>
        <w:pStyle w:val="4"/>
        <w:rPr>
          <w:rFonts w:hint="eastAsia"/>
          <w:sz w:val="21"/>
        </w:rPr>
      </w:pPr>
      <w:bookmarkStart w:id="9" w:name="_Toc43197402"/>
      <w:r>
        <w:rPr>
          <w:rFonts w:hint="eastAsia"/>
          <w:sz w:val="21"/>
        </w:rPr>
        <w:t>本标准规定了专利申请号的编号规则。</w:t>
      </w:r>
      <w:bookmarkEnd w:id="9"/>
    </w:p>
    <w:p>
      <w:pPr>
        <w:pStyle w:val="4"/>
        <w:rPr>
          <w:rFonts w:hint="eastAsia"/>
          <w:sz w:val="21"/>
        </w:rPr>
      </w:pPr>
      <w:bookmarkStart w:id="10" w:name="_Toc43197403"/>
      <w:r>
        <w:rPr>
          <w:rFonts w:hint="eastAsia"/>
          <w:sz w:val="21"/>
        </w:rPr>
        <w:t>本标准适用于为各种目的，特别是为法定程序和文献出版的目的，在任何地点，以任何方式使用中国专利申请号的任何单位和个人。</w:t>
      </w:r>
      <w:bookmarkEnd w:id="10"/>
    </w:p>
    <w:p>
      <w:pPr>
        <w:pStyle w:val="4"/>
        <w:rPr>
          <w:rFonts w:hint="eastAsia"/>
          <w:sz w:val="21"/>
        </w:rPr>
      </w:pPr>
    </w:p>
    <w:p>
      <w:pPr>
        <w:pStyle w:val="3"/>
        <w:ind w:left="-40" w:firstLine="40"/>
        <w:jc w:val="both"/>
        <w:rPr>
          <w:rFonts w:hint="eastAsia"/>
          <w:sz w:val="21"/>
        </w:rPr>
      </w:pPr>
      <w:bookmarkStart w:id="11" w:name="_Toc28743416"/>
      <w:bookmarkStart w:id="12" w:name="_Toc28744768"/>
      <w:bookmarkStart w:id="13" w:name="_Toc28746536"/>
      <w:bookmarkStart w:id="14" w:name="_Toc42931272"/>
      <w:bookmarkStart w:id="15" w:name="_Toc43197404"/>
      <w:bookmarkStart w:id="16" w:name="_Toc44472199"/>
      <w:bookmarkStart w:id="17" w:name="_Toc43111427"/>
      <w:r>
        <w:rPr>
          <w:rFonts w:hint="eastAsia"/>
          <w:sz w:val="21"/>
        </w:rPr>
        <w:t>2   术语和定义</w:t>
      </w:r>
      <w:bookmarkEnd w:id="11"/>
      <w:bookmarkEnd w:id="12"/>
      <w:bookmarkEnd w:id="13"/>
      <w:bookmarkEnd w:id="14"/>
      <w:bookmarkEnd w:id="15"/>
      <w:bookmarkEnd w:id="16"/>
      <w:bookmarkEnd w:id="17"/>
    </w:p>
    <w:p>
      <w:pPr>
        <w:pStyle w:val="4"/>
        <w:rPr>
          <w:rFonts w:hint="eastAsia"/>
          <w:sz w:val="21"/>
        </w:rPr>
      </w:pPr>
      <w:bookmarkStart w:id="18" w:name="_Toc43197405"/>
      <w:r>
        <w:rPr>
          <w:rFonts w:hint="eastAsia"/>
          <w:sz w:val="21"/>
        </w:rPr>
        <w:t>下列术语和定义适用于本标准。除国家法律另有明确规定外，国家知识产权局对于本标准中采用的术语和定义拥有最终解释权。</w:t>
      </w:r>
      <w:bookmarkEnd w:id="18"/>
    </w:p>
    <w:p>
      <w:pPr>
        <w:pStyle w:val="4"/>
        <w:rPr>
          <w:rFonts w:hint="eastAsia"/>
          <w:sz w:val="21"/>
        </w:rPr>
      </w:pPr>
    </w:p>
    <w:p>
      <w:pPr>
        <w:pStyle w:val="3"/>
        <w:ind w:left="-40" w:firstLine="40"/>
        <w:jc w:val="both"/>
        <w:rPr>
          <w:rFonts w:hint="eastAsia"/>
          <w:sz w:val="21"/>
        </w:rPr>
      </w:pPr>
      <w:bookmarkStart w:id="19" w:name="_Toc43111428"/>
      <w:bookmarkStart w:id="20" w:name="_Toc44472200"/>
      <w:bookmarkStart w:id="21" w:name="_Toc43197406"/>
      <w:r>
        <w:rPr>
          <w:rFonts w:hint="eastAsia"/>
          <w:sz w:val="21"/>
        </w:rPr>
        <w:t>2.1   专利申请</w:t>
      </w:r>
      <w:bookmarkEnd w:id="19"/>
      <w:bookmarkEnd w:id="20"/>
      <w:bookmarkEnd w:id="21"/>
    </w:p>
    <w:p>
      <w:pPr>
        <w:pStyle w:val="4"/>
        <w:rPr>
          <w:rFonts w:hint="eastAsia"/>
          <w:sz w:val="21"/>
        </w:rPr>
      </w:pPr>
      <w:bookmarkStart w:id="22" w:name="_Toc43197407"/>
      <w:r>
        <w:rPr>
          <w:rFonts w:hint="eastAsia"/>
          <w:sz w:val="21"/>
        </w:rPr>
        <w:t>本标准所称专利申请包括发明专利申请、实用新型专利申请和外观设计专利申请。</w:t>
      </w:r>
      <w:bookmarkEnd w:id="22"/>
    </w:p>
    <w:p>
      <w:pPr>
        <w:pStyle w:val="4"/>
        <w:rPr>
          <w:rFonts w:hint="eastAsia"/>
          <w:sz w:val="21"/>
        </w:rPr>
      </w:pPr>
    </w:p>
    <w:p>
      <w:pPr>
        <w:pStyle w:val="3"/>
        <w:ind w:left="-40" w:firstLine="40"/>
        <w:jc w:val="both"/>
        <w:rPr>
          <w:rFonts w:hint="eastAsia"/>
          <w:sz w:val="21"/>
        </w:rPr>
      </w:pPr>
      <w:bookmarkStart w:id="23" w:name="_Toc28743417"/>
      <w:bookmarkStart w:id="24" w:name="_Toc28744769"/>
      <w:bookmarkStart w:id="25" w:name="_Toc28746537"/>
      <w:bookmarkStart w:id="26" w:name="_Toc42931273"/>
      <w:bookmarkStart w:id="27" w:name="_Toc44472201"/>
      <w:bookmarkStart w:id="28" w:name="_Toc43197408"/>
      <w:bookmarkStart w:id="29" w:name="_Toc43111429"/>
      <w:r>
        <w:rPr>
          <w:rFonts w:hint="eastAsia"/>
          <w:sz w:val="21"/>
        </w:rPr>
        <w:t xml:space="preserve">2.2   </w:t>
      </w:r>
      <w:bookmarkEnd w:id="23"/>
      <w:bookmarkEnd w:id="24"/>
      <w:bookmarkEnd w:id="25"/>
      <w:r>
        <w:rPr>
          <w:rFonts w:hint="eastAsia"/>
          <w:sz w:val="21"/>
        </w:rPr>
        <w:t>专利申请号</w:t>
      </w:r>
      <w:bookmarkEnd w:id="26"/>
      <w:bookmarkEnd w:id="27"/>
      <w:bookmarkEnd w:id="28"/>
      <w:bookmarkEnd w:id="29"/>
    </w:p>
    <w:p>
      <w:pPr>
        <w:pStyle w:val="4"/>
        <w:rPr>
          <w:sz w:val="21"/>
        </w:rPr>
      </w:pPr>
      <w:bookmarkStart w:id="30" w:name="_Toc43197409"/>
      <w:r>
        <w:rPr>
          <w:rFonts w:hint="eastAsia"/>
          <w:sz w:val="21"/>
        </w:rPr>
        <w:t>专利申请号是指国家知识产权局受理一件专利申请时给予该专利申请的一个标识号码</w:t>
      </w:r>
      <w:bookmarkEnd w:id="30"/>
      <w:r>
        <w:rPr>
          <w:rFonts w:hint="eastAsia"/>
          <w:sz w:val="21"/>
        </w:rPr>
        <w:t>。</w:t>
      </w:r>
    </w:p>
    <w:p>
      <w:pPr>
        <w:pStyle w:val="4"/>
        <w:rPr>
          <w:rFonts w:hint="eastAsia"/>
          <w:sz w:val="21"/>
        </w:rPr>
      </w:pPr>
    </w:p>
    <w:p>
      <w:pPr>
        <w:pStyle w:val="3"/>
        <w:ind w:left="-40" w:firstLine="40"/>
        <w:jc w:val="both"/>
        <w:rPr>
          <w:rFonts w:hint="eastAsia"/>
          <w:sz w:val="21"/>
        </w:rPr>
      </w:pPr>
      <w:bookmarkStart w:id="31" w:name="_Toc28744770"/>
      <w:bookmarkStart w:id="32" w:name="_Toc28746538"/>
      <w:bookmarkStart w:id="33" w:name="_Toc28743418"/>
      <w:bookmarkStart w:id="34" w:name="_Toc42931274"/>
      <w:bookmarkStart w:id="35" w:name="_Toc43111430"/>
      <w:bookmarkStart w:id="36" w:name="_Toc43197410"/>
      <w:bookmarkStart w:id="37" w:name="_Toc44472202"/>
      <w:r>
        <w:rPr>
          <w:rFonts w:hint="eastAsia"/>
          <w:sz w:val="21"/>
        </w:rPr>
        <w:t xml:space="preserve">2.3  </w:t>
      </w:r>
      <w:bookmarkEnd w:id="31"/>
      <w:bookmarkEnd w:id="32"/>
      <w:bookmarkEnd w:id="33"/>
      <w:r>
        <w:rPr>
          <w:rFonts w:hint="eastAsia"/>
          <w:sz w:val="21"/>
        </w:rPr>
        <w:t xml:space="preserve"> 校验位</w:t>
      </w:r>
      <w:bookmarkEnd w:id="34"/>
      <w:bookmarkEnd w:id="35"/>
      <w:bookmarkEnd w:id="36"/>
      <w:bookmarkEnd w:id="37"/>
    </w:p>
    <w:p>
      <w:pPr>
        <w:pStyle w:val="4"/>
        <w:rPr>
          <w:sz w:val="21"/>
        </w:rPr>
      </w:pPr>
      <w:bookmarkStart w:id="38" w:name="_Toc43197411"/>
      <w:r>
        <w:rPr>
          <w:rFonts w:hint="eastAsia"/>
          <w:sz w:val="21"/>
        </w:rPr>
        <w:t>校验位是指以专利申请号中使用的数字组合作为源数据经过计算得出的1位阿拉伯数字（0至9）或大写英文字母X。</w:t>
      </w:r>
      <w:bookmarkEnd w:id="38"/>
    </w:p>
    <w:p>
      <w:pPr>
        <w:pStyle w:val="4"/>
        <w:rPr>
          <w:rFonts w:hint="eastAsia"/>
          <w:sz w:val="21"/>
        </w:rPr>
      </w:pPr>
      <w:bookmarkStart w:id="39" w:name="_Toc42931275"/>
      <w:bookmarkStart w:id="40" w:name="_Toc43197412"/>
      <w:bookmarkStart w:id="41" w:name="_Toc43111431"/>
    </w:p>
    <w:p>
      <w:pPr>
        <w:pStyle w:val="3"/>
        <w:ind w:left="-40" w:firstLine="40"/>
        <w:jc w:val="both"/>
        <w:rPr>
          <w:rFonts w:hint="eastAsia"/>
          <w:sz w:val="21"/>
        </w:rPr>
      </w:pPr>
      <w:bookmarkStart w:id="42" w:name="_Toc44472203"/>
      <w:r>
        <w:rPr>
          <w:rFonts w:hint="eastAsia"/>
          <w:sz w:val="21"/>
        </w:rPr>
        <w:t>3   制定原则</w:t>
      </w:r>
      <w:bookmarkEnd w:id="39"/>
      <w:bookmarkEnd w:id="40"/>
      <w:bookmarkEnd w:id="41"/>
      <w:bookmarkEnd w:id="42"/>
    </w:p>
    <w:p>
      <w:pPr>
        <w:rPr>
          <w:rFonts w:hint="eastAsia"/>
        </w:rPr>
      </w:pPr>
    </w:p>
    <w:p>
      <w:pPr>
        <w:pStyle w:val="3"/>
        <w:ind w:left="-40" w:firstLine="40"/>
        <w:jc w:val="both"/>
        <w:rPr>
          <w:rFonts w:hint="eastAsia"/>
          <w:sz w:val="21"/>
        </w:rPr>
      </w:pPr>
      <w:bookmarkStart w:id="43" w:name="_Toc42931276"/>
      <w:bookmarkStart w:id="44" w:name="_Toc43197413"/>
      <w:bookmarkStart w:id="45" w:name="_Toc43111432"/>
      <w:bookmarkStart w:id="46" w:name="_Toc44472204"/>
      <w:r>
        <w:rPr>
          <w:rFonts w:hint="eastAsia"/>
          <w:sz w:val="21"/>
        </w:rPr>
        <w:t>3.1   惟一性原则</w:t>
      </w:r>
      <w:bookmarkEnd w:id="43"/>
      <w:bookmarkEnd w:id="44"/>
      <w:bookmarkEnd w:id="45"/>
      <w:bookmarkEnd w:id="46"/>
    </w:p>
    <w:p>
      <w:pPr>
        <w:pStyle w:val="4"/>
        <w:rPr>
          <w:rFonts w:hint="eastAsia"/>
          <w:sz w:val="21"/>
        </w:rPr>
      </w:pPr>
      <w:bookmarkStart w:id="47" w:name="_Toc43197414"/>
      <w:r>
        <w:rPr>
          <w:rFonts w:hint="eastAsia"/>
          <w:sz w:val="21"/>
        </w:rPr>
        <w:t>为了使一件专利申请在受理、审查及其他与专利有关的法定程序中能够明确地区别于任何其他专利申请，本标准制定的专利申请号编号规则体现了惟一性原则。</w:t>
      </w:r>
      <w:bookmarkEnd w:id="47"/>
    </w:p>
    <w:p>
      <w:pPr>
        <w:pStyle w:val="4"/>
        <w:rPr>
          <w:sz w:val="21"/>
        </w:rPr>
      </w:pPr>
      <w:bookmarkStart w:id="48" w:name="_Toc43197415"/>
      <w:r>
        <w:rPr>
          <w:rFonts w:hint="eastAsia"/>
          <w:sz w:val="21"/>
        </w:rPr>
        <w:t>惟一性原则具有两层含义：</w:t>
      </w:r>
      <w:bookmarkEnd w:id="48"/>
      <w:bookmarkStart w:id="49" w:name="_Toc43197416"/>
      <w:r>
        <w:rPr>
          <w:rFonts w:hint="eastAsia"/>
          <w:sz w:val="21"/>
        </w:rPr>
        <w:t>第一层含义是，在一件专利申请的审查程序及其他相关法定程序中，以及在由该专利申请所取得的专利权存续期间，国家知识产权局仅给予该专利申请一个专利申请号。这个专利申请号不会由于专利申请文件内容的修改</w:t>
      </w:r>
      <w:bookmarkEnd w:id="49"/>
      <w:bookmarkStart w:id="50" w:name="_Toc43197417"/>
      <w:r>
        <w:rPr>
          <w:rFonts w:hint="eastAsia"/>
          <w:sz w:val="21"/>
        </w:rPr>
        <w:t>、专利申请法律状态的变化以及发明人/设计人、专利申请人或专利权人的变更而发生变化</w:t>
      </w:r>
      <w:bookmarkEnd w:id="50"/>
      <w:r>
        <w:rPr>
          <w:rFonts w:hint="eastAsia"/>
          <w:sz w:val="21"/>
        </w:rPr>
        <w:t>。专利申请号也不会因分案而发生改变，在依据一件专利申请（母案）提出分案申请的情况下，分案申请将具有新的专利申请号，而母案申请仍然保留原专利申请号不变。第二层含义是，一个专利申请号只可能用于一件专利申请，即使</w:t>
      </w:r>
      <w:bookmarkStart w:id="51" w:name="_Toc43197418"/>
      <w:r>
        <w:rPr>
          <w:rFonts w:hint="eastAsia"/>
          <w:sz w:val="21"/>
        </w:rPr>
        <w:t>在一件专利申请或由此取得的专利权灭失之后，任何其他专利申请也不再可能使用该专利申请号。</w:t>
      </w:r>
      <w:bookmarkEnd w:id="51"/>
    </w:p>
    <w:p>
      <w:pPr>
        <w:pStyle w:val="4"/>
        <w:rPr>
          <w:rFonts w:hint="eastAsia"/>
          <w:sz w:val="21"/>
        </w:rPr>
      </w:pPr>
    </w:p>
    <w:p>
      <w:pPr>
        <w:pStyle w:val="3"/>
        <w:ind w:left="-40" w:firstLine="40"/>
        <w:jc w:val="both"/>
        <w:rPr>
          <w:sz w:val="21"/>
        </w:rPr>
      </w:pPr>
      <w:bookmarkStart w:id="52" w:name="_Toc43111433"/>
      <w:bookmarkStart w:id="53" w:name="_Toc43197419"/>
      <w:bookmarkStart w:id="54" w:name="_Toc44472205"/>
      <w:r>
        <w:rPr>
          <w:rFonts w:hint="eastAsia"/>
          <w:sz w:val="21"/>
        </w:rPr>
        <w:t>3.</w:t>
      </w:r>
      <w:r>
        <w:rPr>
          <w:sz w:val="21"/>
        </w:rPr>
        <w:t>2</w:t>
      </w:r>
      <w:r>
        <w:rPr>
          <w:rFonts w:hint="eastAsia"/>
          <w:sz w:val="21"/>
        </w:rPr>
        <w:t xml:space="preserve">   </w:t>
      </w:r>
      <w:bookmarkEnd w:id="52"/>
      <w:r>
        <w:rPr>
          <w:rFonts w:hint="eastAsia"/>
          <w:sz w:val="21"/>
        </w:rPr>
        <w:t>科学性原则</w:t>
      </w:r>
      <w:bookmarkEnd w:id="53"/>
      <w:bookmarkEnd w:id="54"/>
    </w:p>
    <w:p>
      <w:pPr>
        <w:pStyle w:val="4"/>
        <w:rPr>
          <w:sz w:val="21"/>
        </w:rPr>
      </w:pPr>
      <w:bookmarkStart w:id="55" w:name="_Toc43197420"/>
      <w:r>
        <w:rPr>
          <w:rFonts w:hint="eastAsia"/>
          <w:sz w:val="21"/>
        </w:rPr>
        <w:t>由于专利制度的法律保护和技术信息作用均具有广泛的社会性和长久的时间性，要求专利申请号既具有惟一性和有利于信息化管理工作的特性，又具有容易理解和记忆，方便使用的特点，因此，在制定本标准时采用了科学的编号规则，在专利申请号中包含了表示受理专利申请的公元年号、表示专利申请种类的种类号和表示专利申请相对顺序的流水号。</w:t>
      </w:r>
      <w:bookmarkEnd w:id="55"/>
    </w:p>
    <w:p>
      <w:pPr>
        <w:pStyle w:val="4"/>
        <w:rPr>
          <w:sz w:val="21"/>
        </w:rPr>
      </w:pPr>
    </w:p>
    <w:p>
      <w:pPr>
        <w:pStyle w:val="3"/>
        <w:ind w:left="-40" w:firstLine="40"/>
        <w:jc w:val="both"/>
        <w:rPr>
          <w:rFonts w:hint="eastAsia"/>
          <w:sz w:val="21"/>
        </w:rPr>
      </w:pPr>
      <w:bookmarkStart w:id="56" w:name="_Toc44472206"/>
      <w:bookmarkStart w:id="57" w:name="_Toc43197421"/>
      <w:bookmarkStart w:id="58" w:name="_Toc43111435"/>
      <w:bookmarkStart w:id="59" w:name="_Toc42931278"/>
      <w:r>
        <w:rPr>
          <w:rFonts w:hint="eastAsia"/>
          <w:sz w:val="21"/>
        </w:rPr>
        <w:t>4   专利申请号的编号规则</w:t>
      </w:r>
      <w:bookmarkEnd w:id="56"/>
      <w:bookmarkEnd w:id="57"/>
      <w:bookmarkEnd w:id="58"/>
      <w:bookmarkEnd w:id="59"/>
    </w:p>
    <w:p>
      <w:pPr>
        <w:rPr>
          <w:rFonts w:hint="eastAsia"/>
        </w:rPr>
      </w:pPr>
    </w:p>
    <w:p>
      <w:pPr>
        <w:pStyle w:val="3"/>
        <w:ind w:left="-40" w:firstLine="40"/>
        <w:jc w:val="both"/>
        <w:rPr>
          <w:rFonts w:hint="eastAsia"/>
          <w:sz w:val="21"/>
        </w:rPr>
      </w:pPr>
      <w:bookmarkStart w:id="60" w:name="_Toc44472207"/>
      <w:bookmarkStart w:id="61" w:name="_Toc43197422"/>
      <w:r>
        <w:rPr>
          <w:rFonts w:hint="eastAsia"/>
          <w:sz w:val="21"/>
        </w:rPr>
        <w:t>4.1   专利申请号的组成结构</w:t>
      </w:r>
      <w:bookmarkEnd w:id="60"/>
      <w:bookmarkEnd w:id="61"/>
    </w:p>
    <w:p>
      <w:pPr>
        <w:pStyle w:val="4"/>
        <w:rPr>
          <w:rFonts w:hint="eastAsia"/>
          <w:sz w:val="21"/>
        </w:rPr>
      </w:pPr>
      <w:bookmarkStart w:id="62" w:name="_Toc43197428"/>
      <w:r>
        <w:rPr>
          <w:rFonts w:hint="eastAsia"/>
          <w:sz w:val="21"/>
        </w:rPr>
        <w:t>专利申请号用12位阿拉伯数字表示，包括申请年号、申请种类号和申请流水号三个部分。</w:t>
      </w:r>
    </w:p>
    <w:p>
      <w:pPr>
        <w:pStyle w:val="4"/>
        <w:rPr>
          <w:rFonts w:hint="eastAsia"/>
          <w:sz w:val="21"/>
        </w:rPr>
      </w:pPr>
      <w:r>
        <w:rPr>
          <w:rFonts w:hint="eastAsia"/>
          <w:sz w:val="21"/>
        </w:rPr>
        <w:t>按照由左向右的次序，专利申请号中的第1—4位数字表示受理专利申请的年号，第5位数字表示专利申请的种类，第6—12位数字（共7位）为申请流水号，表示受理专利申请的相对顺序。</w:t>
      </w:r>
      <w:bookmarkEnd w:id="62"/>
    </w:p>
    <w:p>
      <w:pPr>
        <w:pStyle w:val="4"/>
        <w:rPr>
          <w:rFonts w:hint="eastAsia"/>
          <w:sz w:val="21"/>
        </w:rPr>
      </w:pPr>
      <w:bookmarkStart w:id="63" w:name="_Toc43197425"/>
      <w:r>
        <w:rPr>
          <w:rFonts w:hint="eastAsia"/>
          <w:sz w:val="21"/>
        </w:rPr>
        <w:t>专利申请号中使用的每一位阿拉伯数字均为十进制。</w:t>
      </w:r>
      <w:bookmarkEnd w:id="63"/>
    </w:p>
    <w:p>
      <w:pPr>
        <w:pStyle w:val="4"/>
        <w:rPr>
          <w:sz w:val="21"/>
        </w:rPr>
      </w:pPr>
    </w:p>
    <w:p>
      <w:pPr>
        <w:pStyle w:val="3"/>
        <w:ind w:left="-40" w:firstLine="40"/>
        <w:jc w:val="both"/>
        <w:rPr>
          <w:sz w:val="21"/>
        </w:rPr>
      </w:pPr>
      <w:bookmarkStart w:id="64" w:name="_Toc43197426"/>
      <w:bookmarkStart w:id="65" w:name="_Toc44472208"/>
      <w:r>
        <w:rPr>
          <w:rFonts w:hint="eastAsia"/>
          <w:sz w:val="21"/>
        </w:rPr>
        <w:t>4.2   申请年号</w:t>
      </w:r>
      <w:bookmarkEnd w:id="64"/>
      <w:bookmarkEnd w:id="65"/>
    </w:p>
    <w:p>
      <w:pPr>
        <w:pStyle w:val="4"/>
        <w:rPr>
          <w:sz w:val="21"/>
        </w:rPr>
      </w:pPr>
      <w:bookmarkStart w:id="66" w:name="_Toc43197430"/>
      <w:r>
        <w:rPr>
          <w:rFonts w:hint="eastAsia"/>
          <w:sz w:val="21"/>
        </w:rPr>
        <w:t>专利申请号中的年号采用公元纪年，例如2004表示专利申请的受理年份为公元2004年。</w:t>
      </w:r>
      <w:bookmarkEnd w:id="66"/>
    </w:p>
    <w:p>
      <w:pPr>
        <w:pStyle w:val="4"/>
        <w:rPr>
          <w:rFonts w:hint="eastAsia"/>
          <w:sz w:val="21"/>
        </w:rPr>
      </w:pPr>
    </w:p>
    <w:p>
      <w:pPr>
        <w:pStyle w:val="3"/>
        <w:ind w:left="-40" w:firstLine="40"/>
        <w:jc w:val="both"/>
        <w:rPr>
          <w:rFonts w:hint="eastAsia"/>
          <w:sz w:val="21"/>
        </w:rPr>
      </w:pPr>
      <w:bookmarkStart w:id="67" w:name="_Toc44472209"/>
      <w:bookmarkStart w:id="68" w:name="_Toc43197431"/>
      <w:r>
        <w:rPr>
          <w:rFonts w:hint="eastAsia"/>
          <w:sz w:val="21"/>
        </w:rPr>
        <w:t>4.3   申请种类号</w:t>
      </w:r>
      <w:bookmarkEnd w:id="67"/>
      <w:bookmarkEnd w:id="68"/>
    </w:p>
    <w:p>
      <w:pPr>
        <w:pStyle w:val="4"/>
        <w:rPr>
          <w:rFonts w:hint="eastAsia"/>
          <w:sz w:val="21"/>
        </w:rPr>
      </w:pPr>
      <w:bookmarkStart w:id="69" w:name="_Toc43197432"/>
      <w:r>
        <w:rPr>
          <w:rFonts w:hint="eastAsia"/>
          <w:sz w:val="21"/>
        </w:rPr>
        <w:t>专利申请号中的申请种类号用1位数字表示，所使用数字的含义规定如下：1表示发明专利申请；2表示实用新型专利申请；3表示外观设计专利申请；8表示进入中国国家阶段的PCT发明专利申请；9表示进入中国国家阶段的PCT 实用新型专利申请。</w:t>
      </w:r>
      <w:bookmarkEnd w:id="69"/>
    </w:p>
    <w:p>
      <w:pPr>
        <w:pStyle w:val="4"/>
        <w:rPr>
          <w:rFonts w:hint="eastAsia"/>
          <w:sz w:val="21"/>
        </w:rPr>
      </w:pPr>
      <w:bookmarkStart w:id="70" w:name="_Toc43197433"/>
      <w:r>
        <w:rPr>
          <w:rFonts w:hint="eastAsia"/>
          <w:sz w:val="21"/>
        </w:rPr>
        <w:t>上述申请种类号中未包含的其他阿拉伯数字在作为种类号使用时的含义由国家知识产权局另行规定。</w:t>
      </w:r>
      <w:bookmarkEnd w:id="70"/>
    </w:p>
    <w:p>
      <w:pPr>
        <w:pStyle w:val="4"/>
        <w:rPr>
          <w:rFonts w:hint="eastAsia"/>
          <w:sz w:val="21"/>
        </w:rPr>
      </w:pPr>
    </w:p>
    <w:p>
      <w:pPr>
        <w:pStyle w:val="3"/>
        <w:ind w:left="-40" w:firstLine="40"/>
        <w:jc w:val="both"/>
        <w:rPr>
          <w:rFonts w:hint="eastAsia"/>
          <w:sz w:val="21"/>
        </w:rPr>
      </w:pPr>
      <w:bookmarkStart w:id="71" w:name="_Toc43197434"/>
      <w:bookmarkStart w:id="72" w:name="_Toc44472210"/>
      <w:r>
        <w:rPr>
          <w:rFonts w:hint="eastAsia"/>
          <w:sz w:val="21"/>
        </w:rPr>
        <w:t>4.4   申请流水号</w:t>
      </w:r>
      <w:bookmarkEnd w:id="71"/>
      <w:bookmarkEnd w:id="72"/>
    </w:p>
    <w:p>
      <w:pPr>
        <w:pStyle w:val="4"/>
        <w:rPr>
          <w:rFonts w:hint="eastAsia"/>
          <w:sz w:val="21"/>
        </w:rPr>
      </w:pPr>
      <w:bookmarkStart w:id="73" w:name="_Toc43197435"/>
      <w:r>
        <w:rPr>
          <w:rFonts w:hint="eastAsia"/>
          <w:sz w:val="21"/>
        </w:rPr>
        <w:t>专利申请号中的申请流水号用7位连续数字表示，一般按照升序使用，例如从0000001开始，顺序递增，直至9999999。</w:t>
      </w:r>
      <w:bookmarkEnd w:id="73"/>
    </w:p>
    <w:p>
      <w:pPr>
        <w:pStyle w:val="4"/>
        <w:rPr>
          <w:rFonts w:hint="eastAsia"/>
          <w:sz w:val="21"/>
        </w:rPr>
      </w:pPr>
      <w:bookmarkStart w:id="74" w:name="_Toc43197436"/>
      <w:r>
        <w:rPr>
          <w:rFonts w:hint="eastAsia"/>
          <w:sz w:val="21"/>
        </w:rPr>
        <w:t>每一自然年度的专利申请号中的申请流水号重新编排，即从每年1月1日起，新发放的专利申请号中的申请流水号不延续上一年度所使用的申请流水号，而是从0000001重新开始编排。</w:t>
      </w:r>
      <w:bookmarkEnd w:id="74"/>
    </w:p>
    <w:p>
      <w:pPr>
        <w:pStyle w:val="4"/>
        <w:rPr>
          <w:rFonts w:hint="eastAsia"/>
          <w:sz w:val="21"/>
        </w:rPr>
      </w:pPr>
    </w:p>
    <w:p>
      <w:pPr>
        <w:pStyle w:val="3"/>
        <w:ind w:left="-40" w:firstLine="40"/>
        <w:jc w:val="both"/>
        <w:rPr>
          <w:sz w:val="21"/>
        </w:rPr>
      </w:pPr>
      <w:bookmarkStart w:id="75" w:name="_Toc43197441"/>
      <w:bookmarkStart w:id="76" w:name="_Toc44472211"/>
      <w:r>
        <w:rPr>
          <w:rFonts w:hint="eastAsia"/>
          <w:sz w:val="21"/>
        </w:rPr>
        <w:t>4.5   专利申请号编号规则图示</w:t>
      </w:r>
      <w:bookmarkEnd w:id="75"/>
      <w:bookmarkEnd w:id="76"/>
    </w:p>
    <w:p>
      <w:pPr>
        <w:pStyle w:val="4"/>
        <w:rPr>
          <w:rFonts w:hint="eastAsia"/>
          <w:sz w:val="21"/>
        </w:rPr>
      </w:pPr>
    </w:p>
    <w:p>
      <w:pPr>
        <w:pStyle w:val="4"/>
        <w:rPr>
          <w:sz w:val="21"/>
        </w:rPr>
      </w:pPr>
      <w:r>
        <w:rPr>
          <w:rFonts w:hint="eastAsia"/>
          <w:sz w:val="21"/>
        </w:rPr>
        <w:drawing>
          <wp:inline distT="0" distB="0" distL="0" distR="0">
            <wp:extent cx="4906645" cy="1158875"/>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rcRect/>
                    <a:stretch>
                      <a:fillRect/>
                    </a:stretch>
                  </pic:blipFill>
                  <pic:spPr>
                    <a:xfrm>
                      <a:off x="0" y="0"/>
                      <a:ext cx="4906645" cy="1158875"/>
                    </a:xfrm>
                    <a:prstGeom prst="rect">
                      <a:avLst/>
                    </a:prstGeom>
                    <a:noFill/>
                    <a:ln>
                      <a:noFill/>
                    </a:ln>
                  </pic:spPr>
                </pic:pic>
              </a:graphicData>
            </a:graphic>
          </wp:inline>
        </w:drawing>
      </w:r>
    </w:p>
    <w:p>
      <w:pPr>
        <w:pStyle w:val="4"/>
        <w:rPr>
          <w:rFonts w:hint="eastAsia"/>
          <w:sz w:val="21"/>
        </w:rPr>
      </w:pPr>
    </w:p>
    <w:p>
      <w:pPr>
        <w:pStyle w:val="3"/>
        <w:ind w:left="-40" w:firstLine="40"/>
        <w:jc w:val="both"/>
        <w:rPr>
          <w:rFonts w:hint="eastAsia"/>
          <w:sz w:val="21"/>
        </w:rPr>
      </w:pPr>
      <w:bookmarkStart w:id="77" w:name="_Toc44472212"/>
      <w:r>
        <w:rPr>
          <w:rFonts w:hint="eastAsia"/>
          <w:sz w:val="21"/>
        </w:rPr>
        <w:t>5</w:t>
      </w:r>
      <w:r>
        <w:rPr>
          <w:rFonts w:hint="eastAsia"/>
          <w:sz w:val="21"/>
        </w:rPr>
        <w:tab/>
      </w:r>
      <w:r>
        <w:rPr>
          <w:rFonts w:hint="eastAsia"/>
          <w:sz w:val="21"/>
        </w:rPr>
        <w:t>专利申请号的使用规则</w:t>
      </w:r>
      <w:bookmarkEnd w:id="77"/>
    </w:p>
    <w:p>
      <w:pPr>
        <w:rPr>
          <w:rFonts w:hint="eastAsia"/>
        </w:rPr>
      </w:pPr>
    </w:p>
    <w:p>
      <w:pPr>
        <w:pStyle w:val="3"/>
        <w:ind w:left="-40" w:firstLine="40"/>
        <w:jc w:val="both"/>
        <w:rPr>
          <w:rFonts w:hint="eastAsia"/>
          <w:sz w:val="21"/>
        </w:rPr>
      </w:pPr>
      <w:bookmarkStart w:id="78" w:name="_Toc44472213"/>
      <w:r>
        <w:rPr>
          <w:rFonts w:hint="eastAsia"/>
          <w:sz w:val="21"/>
        </w:rPr>
        <w:t>5.1</w:t>
      </w:r>
      <w:r>
        <w:rPr>
          <w:rFonts w:hint="eastAsia"/>
          <w:sz w:val="21"/>
        </w:rPr>
        <w:tab/>
      </w:r>
      <w:r>
        <w:rPr>
          <w:rFonts w:hint="eastAsia"/>
          <w:sz w:val="21"/>
        </w:rPr>
        <w:t xml:space="preserve">  专利申请号与校验位的联合使用</w:t>
      </w:r>
      <w:bookmarkEnd w:id="78"/>
    </w:p>
    <w:p>
      <w:pPr>
        <w:pStyle w:val="4"/>
        <w:rPr>
          <w:rFonts w:hint="eastAsia"/>
          <w:sz w:val="21"/>
        </w:rPr>
      </w:pPr>
      <w:r>
        <w:rPr>
          <w:rFonts w:hint="eastAsia"/>
          <w:sz w:val="21"/>
        </w:rPr>
        <w:t>国家知识产权局在受理专利申请时给予专利申请号和校验位。校验位位于专利申请号之后，在专利申请号与校验位之间使用一个下标单字节实心圆点符号作为间隔符。除法律法规和行政规章另有规定以外，在专利法、专利法实施细则及其他相关法规规定的各种法定程序中均应将专利申请号与校验位（包括两者之间的间隔符）联合使用。</w:t>
      </w:r>
    </w:p>
    <w:p>
      <w:pPr>
        <w:pStyle w:val="4"/>
        <w:rPr>
          <w:rFonts w:hint="eastAsia"/>
          <w:sz w:val="21"/>
        </w:rPr>
      </w:pPr>
    </w:p>
    <w:p>
      <w:pPr>
        <w:pStyle w:val="3"/>
        <w:ind w:left="-40" w:firstLine="40"/>
        <w:jc w:val="both"/>
        <w:rPr>
          <w:rFonts w:hint="eastAsia"/>
          <w:sz w:val="21"/>
        </w:rPr>
      </w:pPr>
      <w:bookmarkStart w:id="79" w:name="_Toc44472214"/>
      <w:r>
        <w:rPr>
          <w:rFonts w:hint="eastAsia"/>
          <w:sz w:val="21"/>
        </w:rPr>
        <w:t>5.2</w:t>
      </w:r>
      <w:r>
        <w:rPr>
          <w:rFonts w:hint="eastAsia"/>
          <w:sz w:val="21"/>
        </w:rPr>
        <w:tab/>
      </w:r>
      <w:r>
        <w:rPr>
          <w:rFonts w:hint="eastAsia"/>
          <w:sz w:val="21"/>
        </w:rPr>
        <w:t xml:space="preserve">  专利申请号与中国国家代码CN的联合使用</w:t>
      </w:r>
      <w:bookmarkEnd w:id="79"/>
    </w:p>
    <w:p>
      <w:pPr>
        <w:pStyle w:val="4"/>
        <w:rPr>
          <w:rFonts w:hint="eastAsia"/>
          <w:sz w:val="21"/>
        </w:rPr>
      </w:pPr>
      <w:r>
        <w:rPr>
          <w:rFonts w:hint="eastAsia"/>
          <w:sz w:val="21"/>
        </w:rPr>
        <w:t>可以将中国国家代码CN与专利申请号联合使用，以表明该专利申请是由中国国家知识产权局受理。代码CN应位于专利申请号之前，如果需要，可以在CN与专利申请号之间使用1位单字节空格。</w:t>
      </w:r>
    </w:p>
    <w:p>
      <w:pPr>
        <w:pStyle w:val="4"/>
        <w:rPr>
          <w:rFonts w:hint="eastAsia"/>
          <w:sz w:val="21"/>
        </w:rPr>
      </w:pPr>
    </w:p>
    <w:p>
      <w:pPr>
        <w:pStyle w:val="3"/>
        <w:ind w:left="-40" w:firstLine="40"/>
        <w:jc w:val="both"/>
        <w:rPr>
          <w:rFonts w:hint="eastAsia"/>
          <w:sz w:val="21"/>
        </w:rPr>
      </w:pPr>
      <w:bookmarkStart w:id="80" w:name="_Toc44472215"/>
      <w:r>
        <w:rPr>
          <w:rFonts w:hint="eastAsia"/>
          <w:sz w:val="21"/>
        </w:rPr>
        <w:t>5.3</w:t>
      </w:r>
      <w:r>
        <w:rPr>
          <w:rFonts w:hint="eastAsia"/>
          <w:sz w:val="21"/>
        </w:rPr>
        <w:tab/>
      </w:r>
      <w:r>
        <w:rPr>
          <w:rFonts w:hint="eastAsia"/>
          <w:sz w:val="21"/>
        </w:rPr>
        <w:t xml:space="preserve">  专利申请号的书写及印刷格式</w:t>
      </w:r>
      <w:bookmarkEnd w:id="80"/>
    </w:p>
    <w:p>
      <w:pPr>
        <w:pStyle w:val="4"/>
        <w:rPr>
          <w:rFonts w:hint="eastAsia"/>
          <w:sz w:val="21"/>
        </w:rPr>
      </w:pPr>
      <w:bookmarkStart w:id="81" w:name="_Toc43197447"/>
      <w:bookmarkStart w:id="82" w:name="_Toc43111443"/>
      <w:bookmarkStart w:id="83" w:name="_Toc42931286"/>
      <w:r>
        <w:rPr>
          <w:rFonts w:hint="eastAsia"/>
          <w:sz w:val="21"/>
        </w:rPr>
        <w:t>除法律法规、行政规章规定专利申请号（包括与校验位联合使用的情况）的所有数字必须连续书写或印刷以外，在专利申请号的年号与种类号、种类号与流水号之间可以分别使用1位单字节空格。</w:t>
      </w:r>
    </w:p>
    <w:p>
      <w:pPr>
        <w:pStyle w:val="4"/>
        <w:rPr>
          <w:rFonts w:hint="eastAsia"/>
          <w:sz w:val="21"/>
        </w:rPr>
      </w:pPr>
      <w:r>
        <w:rPr>
          <w:rFonts w:hint="eastAsia"/>
          <w:sz w:val="21"/>
        </w:rPr>
        <w:t>在表示年号及流水号的数字段内、流水号与间隔符之间、间隔符与校验位之间不得使用空格。</w:t>
      </w:r>
    </w:p>
    <w:p>
      <w:pPr>
        <w:pStyle w:val="4"/>
        <w:rPr>
          <w:sz w:val="21"/>
        </w:rPr>
      </w:pPr>
      <w:bookmarkStart w:id="84" w:name="_Toc43197446"/>
      <w:r>
        <w:rPr>
          <w:rFonts w:hint="eastAsia"/>
          <w:sz w:val="21"/>
        </w:rPr>
        <w:t>在专利申请号（包括与校验位联合使用的情况）的前后或其中不得使用5.1、5.2和5.3第1款规定以外的任何其他文字、数字、符号或空格作为专利申请号的组成部分。</w:t>
      </w:r>
      <w:bookmarkEnd w:id="84"/>
    </w:p>
    <w:p>
      <w:pPr>
        <w:pStyle w:val="4"/>
        <w:rPr>
          <w:sz w:val="21"/>
        </w:rPr>
      </w:pPr>
    </w:p>
    <w:p>
      <w:pPr>
        <w:pStyle w:val="3"/>
        <w:ind w:left="-40" w:firstLine="40"/>
        <w:jc w:val="both"/>
        <w:rPr>
          <w:rFonts w:hint="eastAsia"/>
          <w:sz w:val="21"/>
        </w:rPr>
      </w:pPr>
      <w:bookmarkStart w:id="85" w:name="_Toc44472216"/>
      <w:r>
        <w:rPr>
          <w:rFonts w:hint="eastAsia"/>
          <w:sz w:val="21"/>
        </w:rPr>
        <w:t>6   专利申请号标准的管理</w:t>
      </w:r>
      <w:bookmarkEnd w:id="81"/>
      <w:bookmarkEnd w:id="82"/>
      <w:bookmarkEnd w:id="83"/>
      <w:bookmarkEnd w:id="85"/>
    </w:p>
    <w:p>
      <w:pPr>
        <w:pStyle w:val="4"/>
        <w:rPr>
          <w:sz w:val="21"/>
        </w:rPr>
      </w:pPr>
      <w:bookmarkStart w:id="86" w:name="_Toc43197448"/>
      <w:r>
        <w:rPr>
          <w:rFonts w:hint="eastAsia"/>
          <w:sz w:val="21"/>
        </w:rPr>
        <w:t>由国家知识产权局指定的本标准管理者依据本标准的条款内容，对专利申请号标准进行管理，并负责建立一个专利申请号标准有效运行环境。</w:t>
      </w:r>
      <w:bookmarkEnd w:id="86"/>
    </w:p>
    <w:p>
      <w:pPr>
        <w:pStyle w:val="4"/>
        <w:rPr>
          <w:rFonts w:hint="eastAsia"/>
          <w:sz w:val="21"/>
        </w:rPr>
      </w:pPr>
      <w:bookmarkStart w:id="87" w:name="_Toc43197449"/>
      <w:r>
        <w:rPr>
          <w:rFonts w:hint="eastAsia"/>
          <w:sz w:val="21"/>
        </w:rPr>
        <w:t>本标准管理者的具体职责是：</w:t>
      </w:r>
      <w:bookmarkEnd w:id="87"/>
    </w:p>
    <w:p>
      <w:pPr>
        <w:pStyle w:val="4"/>
        <w:rPr>
          <w:rFonts w:hint="eastAsia"/>
          <w:sz w:val="21"/>
        </w:rPr>
      </w:pPr>
      <w:bookmarkStart w:id="88" w:name="_Toc43197450"/>
      <w:r>
        <w:rPr>
          <w:rFonts w:hint="eastAsia"/>
          <w:sz w:val="21"/>
        </w:rPr>
        <w:t>--依据本标准的内容，保证专利申请号使用的惟一性；</w:t>
      </w:r>
      <w:bookmarkEnd w:id="88"/>
    </w:p>
    <w:p>
      <w:pPr>
        <w:pStyle w:val="4"/>
        <w:rPr>
          <w:rFonts w:hint="eastAsia"/>
          <w:sz w:val="21"/>
        </w:rPr>
      </w:pPr>
      <w:bookmarkStart w:id="89" w:name="_Toc43197451"/>
      <w:r>
        <w:rPr>
          <w:rFonts w:hint="eastAsia"/>
          <w:sz w:val="21"/>
        </w:rPr>
        <w:t>--负责专利申请号的管理和维护；</w:t>
      </w:r>
      <w:bookmarkEnd w:id="89"/>
    </w:p>
    <w:p>
      <w:pPr>
        <w:pStyle w:val="4"/>
        <w:rPr>
          <w:rFonts w:hint="eastAsia"/>
          <w:sz w:val="21"/>
        </w:rPr>
      </w:pPr>
      <w:bookmarkStart w:id="90" w:name="_Toc43197452"/>
      <w:r>
        <w:rPr>
          <w:rFonts w:hint="eastAsia"/>
          <w:sz w:val="21"/>
        </w:rPr>
        <w:t>--解释本标准的规范性术语和定义；</w:t>
      </w:r>
      <w:bookmarkEnd w:id="90"/>
    </w:p>
    <w:p>
      <w:pPr>
        <w:pStyle w:val="4"/>
        <w:rPr>
          <w:rFonts w:hint="eastAsia"/>
          <w:sz w:val="21"/>
        </w:rPr>
      </w:pPr>
      <w:bookmarkStart w:id="91" w:name="_Toc43197453"/>
      <w:r>
        <w:rPr>
          <w:rFonts w:hint="eastAsia"/>
          <w:sz w:val="21"/>
        </w:rPr>
        <w:t>--提出改进建议。</w:t>
      </w:r>
      <w:bookmarkEnd w:id="91"/>
    </w:p>
    <w:p>
      <w:pPr>
        <w:pStyle w:val="4"/>
        <w:rPr>
          <w:rFonts w:hint="eastAsia"/>
          <w:sz w:val="21"/>
        </w:rPr>
      </w:pPr>
    </w:p>
    <w:p>
      <w:pPr>
        <w:pStyle w:val="3"/>
        <w:ind w:left="-40" w:firstLine="40"/>
        <w:jc w:val="both"/>
        <w:rPr>
          <w:rFonts w:hint="eastAsia"/>
          <w:sz w:val="21"/>
        </w:rPr>
      </w:pPr>
      <w:bookmarkStart w:id="92" w:name="_Toc43111444"/>
      <w:bookmarkStart w:id="93" w:name="_Toc42931287"/>
      <w:bookmarkStart w:id="94" w:name="_Toc44472217"/>
      <w:bookmarkStart w:id="95" w:name="_Toc43197454"/>
      <w:r>
        <w:rPr>
          <w:rFonts w:hint="eastAsia"/>
          <w:sz w:val="21"/>
        </w:rPr>
        <w:t>7   标准的发布</w:t>
      </w:r>
      <w:bookmarkEnd w:id="92"/>
      <w:bookmarkEnd w:id="93"/>
      <w:bookmarkEnd w:id="94"/>
      <w:bookmarkEnd w:id="95"/>
    </w:p>
    <w:p>
      <w:pPr>
        <w:pStyle w:val="4"/>
        <w:rPr>
          <w:rFonts w:hint="eastAsia"/>
          <w:sz w:val="21"/>
        </w:rPr>
      </w:pPr>
      <w:bookmarkStart w:id="96" w:name="_Toc43197455"/>
      <w:r>
        <w:rPr>
          <w:rFonts w:hint="eastAsia"/>
          <w:sz w:val="21"/>
        </w:rPr>
        <w:t>本标准于</w:t>
      </w:r>
      <w:r>
        <w:rPr>
          <w:sz w:val="21"/>
        </w:rPr>
        <w:t>2003</w:t>
      </w:r>
      <w:r>
        <w:rPr>
          <w:rFonts w:hint="eastAsia"/>
          <w:sz w:val="21"/>
        </w:rPr>
        <w:t>年7月14日发布。</w:t>
      </w:r>
      <w:bookmarkEnd w:id="96"/>
    </w:p>
    <w:p>
      <w:pPr>
        <w:pStyle w:val="4"/>
        <w:rPr>
          <w:rFonts w:hint="eastAsia"/>
          <w:sz w:val="21"/>
        </w:rPr>
      </w:pPr>
    </w:p>
    <w:p>
      <w:pPr>
        <w:pStyle w:val="3"/>
        <w:ind w:left="-40" w:firstLine="40"/>
        <w:jc w:val="both"/>
        <w:rPr>
          <w:rFonts w:hint="eastAsia"/>
          <w:sz w:val="21"/>
        </w:rPr>
      </w:pPr>
      <w:bookmarkStart w:id="97" w:name="_Toc42931288"/>
      <w:bookmarkStart w:id="98" w:name="_Toc43111445"/>
      <w:bookmarkStart w:id="99" w:name="_Toc43197456"/>
      <w:bookmarkStart w:id="100" w:name="_Toc44472218"/>
      <w:r>
        <w:rPr>
          <w:rFonts w:hint="eastAsia"/>
          <w:sz w:val="21"/>
        </w:rPr>
        <w:t>8   标准的施</w:t>
      </w:r>
      <w:bookmarkEnd w:id="97"/>
      <w:bookmarkEnd w:id="98"/>
      <w:r>
        <w:rPr>
          <w:rFonts w:hint="eastAsia"/>
          <w:sz w:val="21"/>
        </w:rPr>
        <w:t>行</w:t>
      </w:r>
      <w:bookmarkEnd w:id="99"/>
      <w:bookmarkEnd w:id="100"/>
    </w:p>
    <w:p>
      <w:pPr>
        <w:pStyle w:val="4"/>
        <w:rPr>
          <w:rFonts w:hint="eastAsia"/>
          <w:sz w:val="21"/>
        </w:rPr>
      </w:pPr>
    </w:p>
    <w:p>
      <w:pPr>
        <w:pStyle w:val="3"/>
        <w:ind w:left="-40" w:firstLine="40"/>
        <w:jc w:val="both"/>
        <w:rPr>
          <w:rFonts w:hint="eastAsia"/>
          <w:sz w:val="21"/>
        </w:rPr>
      </w:pPr>
      <w:bookmarkStart w:id="101" w:name="_Toc43111446"/>
      <w:bookmarkStart w:id="102" w:name="_Toc42931289"/>
      <w:bookmarkStart w:id="103" w:name="_Toc43197457"/>
      <w:bookmarkStart w:id="104" w:name="_Toc44472219"/>
      <w:r>
        <w:rPr>
          <w:rFonts w:hint="eastAsia"/>
          <w:sz w:val="21"/>
        </w:rPr>
        <w:t>8</w:t>
      </w:r>
      <w:r>
        <w:rPr>
          <w:sz w:val="21"/>
        </w:rPr>
        <w:t xml:space="preserve">.1   </w:t>
      </w:r>
      <w:r>
        <w:rPr>
          <w:rFonts w:hint="eastAsia"/>
          <w:sz w:val="21"/>
        </w:rPr>
        <w:t>标准施</w:t>
      </w:r>
      <w:bookmarkEnd w:id="101"/>
      <w:bookmarkEnd w:id="102"/>
      <w:r>
        <w:rPr>
          <w:rFonts w:hint="eastAsia"/>
          <w:sz w:val="21"/>
        </w:rPr>
        <w:t>行</w:t>
      </w:r>
      <w:bookmarkEnd w:id="103"/>
      <w:bookmarkEnd w:id="104"/>
    </w:p>
    <w:p>
      <w:pPr>
        <w:pStyle w:val="4"/>
        <w:rPr>
          <w:sz w:val="21"/>
        </w:rPr>
      </w:pPr>
      <w:bookmarkStart w:id="105" w:name="_Toc43197458"/>
      <w:r>
        <w:rPr>
          <w:rFonts w:hint="eastAsia"/>
          <w:sz w:val="21"/>
        </w:rPr>
        <w:t>本标准于</w:t>
      </w:r>
      <w:r>
        <w:rPr>
          <w:sz w:val="21"/>
        </w:rPr>
        <w:t>200</w:t>
      </w:r>
      <w:r>
        <w:rPr>
          <w:rFonts w:hint="eastAsia"/>
          <w:sz w:val="21"/>
        </w:rPr>
        <w:t>3年10月1日正式施行。</w:t>
      </w:r>
      <w:bookmarkEnd w:id="105"/>
    </w:p>
    <w:p>
      <w:pPr>
        <w:pStyle w:val="4"/>
        <w:rPr>
          <w:rFonts w:hint="eastAsia"/>
          <w:sz w:val="21"/>
        </w:rPr>
      </w:pPr>
    </w:p>
    <w:p>
      <w:pPr>
        <w:pStyle w:val="3"/>
        <w:ind w:left="-40" w:firstLine="40"/>
        <w:jc w:val="both"/>
        <w:rPr>
          <w:rFonts w:hint="eastAsia"/>
          <w:sz w:val="21"/>
        </w:rPr>
      </w:pPr>
      <w:bookmarkStart w:id="106" w:name="_Toc42931290"/>
      <w:bookmarkStart w:id="107" w:name="_Toc43197459"/>
      <w:bookmarkStart w:id="108" w:name="_Toc44472220"/>
      <w:bookmarkStart w:id="109" w:name="_Toc43111447"/>
      <w:r>
        <w:rPr>
          <w:rFonts w:hint="eastAsia"/>
          <w:sz w:val="21"/>
        </w:rPr>
        <w:t>8</w:t>
      </w:r>
      <w:r>
        <w:rPr>
          <w:sz w:val="21"/>
        </w:rPr>
        <w:t xml:space="preserve">.2   </w:t>
      </w:r>
      <w:r>
        <w:rPr>
          <w:rFonts w:hint="eastAsia"/>
          <w:sz w:val="21"/>
        </w:rPr>
        <w:t>标准监督</w:t>
      </w:r>
      <w:bookmarkEnd w:id="106"/>
      <w:bookmarkEnd w:id="107"/>
      <w:bookmarkEnd w:id="108"/>
      <w:bookmarkEnd w:id="109"/>
    </w:p>
    <w:p>
      <w:pPr>
        <w:pStyle w:val="4"/>
        <w:rPr>
          <w:rFonts w:hint="eastAsia"/>
          <w:sz w:val="21"/>
        </w:rPr>
      </w:pPr>
      <w:bookmarkStart w:id="110" w:name="_Toc43197460"/>
      <w:r>
        <w:rPr>
          <w:rFonts w:hint="eastAsia"/>
          <w:sz w:val="21"/>
        </w:rPr>
        <w:t>国家知识产权局标准化委员会负责监督标准的实施。</w:t>
      </w:r>
      <w:bookmarkEnd w:id="110"/>
    </w:p>
    <w:p>
      <w:pPr>
        <w:pStyle w:val="4"/>
        <w:rPr>
          <w:rFonts w:hint="eastAsia"/>
          <w:sz w:val="21"/>
        </w:rPr>
      </w:pPr>
      <w:bookmarkStart w:id="111" w:name="_Toc42931291"/>
      <w:bookmarkStart w:id="112" w:name="_Toc43111448"/>
    </w:p>
    <w:p>
      <w:pPr>
        <w:pStyle w:val="3"/>
        <w:ind w:left="-40" w:firstLine="40"/>
        <w:jc w:val="both"/>
        <w:rPr>
          <w:rFonts w:hint="eastAsia"/>
          <w:sz w:val="21"/>
        </w:rPr>
      </w:pPr>
      <w:bookmarkStart w:id="113" w:name="_Toc43197461"/>
      <w:bookmarkStart w:id="114" w:name="_Toc44472221"/>
      <w:r>
        <w:rPr>
          <w:rFonts w:hint="eastAsia"/>
          <w:sz w:val="21"/>
        </w:rPr>
        <w:t>8</w:t>
      </w:r>
      <w:r>
        <w:rPr>
          <w:sz w:val="21"/>
        </w:rPr>
        <w:t xml:space="preserve">.3   </w:t>
      </w:r>
      <w:r>
        <w:rPr>
          <w:rFonts w:hint="eastAsia"/>
          <w:sz w:val="21"/>
        </w:rPr>
        <w:t>标准改进</w:t>
      </w:r>
      <w:bookmarkEnd w:id="111"/>
      <w:bookmarkEnd w:id="112"/>
      <w:bookmarkEnd w:id="113"/>
      <w:bookmarkEnd w:id="114"/>
    </w:p>
    <w:p>
      <w:pPr>
        <w:pStyle w:val="4"/>
        <w:rPr>
          <w:sz w:val="21"/>
        </w:rPr>
      </w:pPr>
      <w:bookmarkStart w:id="115" w:name="_Toc43197462"/>
      <w:r>
        <w:rPr>
          <w:rFonts w:hint="eastAsia"/>
          <w:sz w:val="21"/>
        </w:rPr>
        <w:t>国家知识产权局标准化委员会对本标准管理者提出的改进建议进行评审，如有必要，可以制定新标准代替本标准。</w:t>
      </w:r>
      <w:bookmarkEnd w:id="115"/>
    </w:p>
    <w:sectPr>
      <w:headerReference r:id="rId4" w:type="first"/>
      <w:headerReference r:id="rId3" w:type="default"/>
      <w:footerReference r:id="rId5" w:type="default"/>
      <w:pgSz w:w="11907" w:h="16840"/>
      <w:pgMar w:top="1701" w:right="1134" w:bottom="1418" w:left="1701" w:header="1134" w:footer="964" w:gutter="0"/>
      <w:pgNumType w:start="3"/>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7</w:t>
    </w:r>
    <w:r>
      <w:rPr>
        <w:rStyle w:val="22"/>
      </w:rPr>
      <w:fldChar w:fldCharType="end"/>
    </w:r>
  </w:p>
  <w:p>
    <w:pPr>
      <w:pStyle w:val="13"/>
      <w:ind w:right="360"/>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12"/>
      </w:pBdr>
      <w:jc w:val="right"/>
      <w:rPr>
        <w:rFonts w:hint="eastAsia" w:ascii="宋体" w:hAnsi="宋体"/>
        <w:b/>
        <w:bCs/>
        <w:sz w:val="24"/>
      </w:rPr>
    </w:pPr>
    <w:r>
      <w:rPr>
        <w:rFonts w:hint="eastAsia" w:ascii="宋体" w:hAnsi="宋体"/>
        <w:b/>
        <w:bCs/>
        <w:sz w:val="24"/>
      </w:rPr>
      <w:t>ZC  0006-2003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sz w:val="21"/>
      </w:rPr>
    </w:pPr>
    <w:r>
      <w:rPr>
        <w:rFonts w:hint="eastAsia"/>
        <w:sz w:val="21"/>
      </w:rPr>
      <w:t>ZC  0006-2003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xN2JhMzJjYjFmMDQ0OGRjMWY2NmE3ZjU2ODNhNjEifQ=="/>
  </w:docVars>
  <w:rsids>
    <w:rsidRoot w:val="00875C69"/>
    <w:rsid w:val="001E6AC2"/>
    <w:rsid w:val="00875C69"/>
    <w:rsid w:val="0D7C0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widowControl/>
      <w:ind w:firstLine="567"/>
      <w:jc w:val="right"/>
      <w:outlineLvl w:val="0"/>
    </w:pPr>
    <w:rPr>
      <w:rFonts w:ascii="宋体"/>
      <w:b/>
      <w:kern w:val="0"/>
      <w:sz w:val="24"/>
      <w:szCs w:val="20"/>
    </w:rPr>
  </w:style>
  <w:style w:type="paragraph" w:styleId="3">
    <w:name w:val="heading 2"/>
    <w:basedOn w:val="1"/>
    <w:next w:val="4"/>
    <w:autoRedefine/>
    <w:qFormat/>
    <w:uiPriority w:val="0"/>
    <w:pPr>
      <w:keepNext/>
      <w:widowControl/>
      <w:jc w:val="right"/>
      <w:outlineLvl w:val="1"/>
    </w:pPr>
    <w:rPr>
      <w:rFonts w:ascii="宋体"/>
      <w:b/>
      <w:kern w:val="0"/>
      <w:sz w:val="24"/>
      <w:szCs w:val="20"/>
    </w:rPr>
  </w:style>
  <w:style w:type="paragraph" w:styleId="5">
    <w:name w:val="heading 3"/>
    <w:basedOn w:val="1"/>
    <w:next w:val="4"/>
    <w:autoRedefine/>
    <w:qFormat/>
    <w:uiPriority w:val="0"/>
    <w:pPr>
      <w:keepNext/>
      <w:widowControl/>
      <w:ind w:left="-284"/>
      <w:jc w:val="left"/>
      <w:outlineLvl w:val="2"/>
    </w:pPr>
    <w:rPr>
      <w:rFonts w:ascii="宋体"/>
      <w:b/>
      <w:kern w:val="0"/>
      <w:sz w:val="24"/>
      <w:szCs w:val="20"/>
    </w:rPr>
  </w:style>
  <w:style w:type="paragraph" w:styleId="6">
    <w:name w:val="heading 4"/>
    <w:basedOn w:val="1"/>
    <w:next w:val="4"/>
    <w:autoRedefine/>
    <w:qFormat/>
    <w:uiPriority w:val="0"/>
    <w:pPr>
      <w:keepNext/>
      <w:widowControl/>
      <w:ind w:left="6091" w:firstLine="709"/>
      <w:jc w:val="left"/>
      <w:outlineLvl w:val="3"/>
    </w:pPr>
    <w:rPr>
      <w:rFonts w:ascii="宋体"/>
      <w:b/>
      <w:kern w:val="0"/>
      <w:szCs w:val="20"/>
    </w:rPr>
  </w:style>
  <w:style w:type="character" w:default="1" w:styleId="21">
    <w:name w:val="Default Paragraph Font"/>
    <w:autoRedefine/>
    <w:semiHidden/>
    <w:qFormat/>
    <w:uiPriority w:val="0"/>
  </w:style>
  <w:style w:type="table" w:default="1" w:styleId="20">
    <w:name w:val="Normal Table"/>
    <w:autoRedefine/>
    <w:semiHidden/>
    <w:unhideWhenUsed/>
    <w:qFormat/>
    <w:uiPriority w:val="99"/>
    <w:tblPr>
      <w:tblCellMar>
        <w:top w:w="0" w:type="dxa"/>
        <w:left w:w="108" w:type="dxa"/>
        <w:bottom w:w="0" w:type="dxa"/>
        <w:right w:w="108" w:type="dxa"/>
      </w:tblCellMar>
    </w:tblPr>
  </w:style>
  <w:style w:type="paragraph" w:styleId="4">
    <w:name w:val="Normal Indent"/>
    <w:basedOn w:val="1"/>
    <w:autoRedefine/>
    <w:semiHidden/>
    <w:qFormat/>
    <w:uiPriority w:val="0"/>
    <w:pPr>
      <w:widowControl/>
      <w:ind w:firstLine="420"/>
      <w:jc w:val="left"/>
    </w:pPr>
    <w:rPr>
      <w:kern w:val="0"/>
      <w:sz w:val="20"/>
      <w:szCs w:val="20"/>
    </w:rPr>
  </w:style>
  <w:style w:type="paragraph" w:styleId="7">
    <w:name w:val="toc 7"/>
    <w:basedOn w:val="1"/>
    <w:next w:val="1"/>
    <w:autoRedefine/>
    <w:semiHidden/>
    <w:qFormat/>
    <w:uiPriority w:val="0"/>
    <w:pPr>
      <w:ind w:left="2520" w:leftChars="1200"/>
    </w:pPr>
  </w:style>
  <w:style w:type="paragraph" w:styleId="8">
    <w:name w:val="Body Text Indent"/>
    <w:basedOn w:val="1"/>
    <w:autoRedefine/>
    <w:semiHidden/>
    <w:qFormat/>
    <w:uiPriority w:val="0"/>
    <w:pPr>
      <w:spacing w:line="360" w:lineRule="auto"/>
      <w:ind w:firstLine="359" w:firstLineChars="171"/>
    </w:pPr>
  </w:style>
  <w:style w:type="paragraph" w:styleId="9">
    <w:name w:val="toc 5"/>
    <w:basedOn w:val="1"/>
    <w:next w:val="1"/>
    <w:autoRedefine/>
    <w:semiHidden/>
    <w:qFormat/>
    <w:uiPriority w:val="0"/>
    <w:pPr>
      <w:ind w:left="1680" w:leftChars="800"/>
    </w:pPr>
  </w:style>
  <w:style w:type="paragraph" w:styleId="10">
    <w:name w:val="toc 3"/>
    <w:basedOn w:val="1"/>
    <w:next w:val="1"/>
    <w:autoRedefine/>
    <w:semiHidden/>
    <w:qFormat/>
    <w:uiPriority w:val="0"/>
    <w:pPr>
      <w:ind w:left="840" w:leftChars="400"/>
    </w:pPr>
  </w:style>
  <w:style w:type="paragraph" w:styleId="11">
    <w:name w:val="toc 8"/>
    <w:basedOn w:val="1"/>
    <w:next w:val="1"/>
    <w:autoRedefine/>
    <w:semiHidden/>
    <w:qFormat/>
    <w:uiPriority w:val="0"/>
    <w:pPr>
      <w:ind w:left="2940" w:leftChars="1400"/>
    </w:pPr>
  </w:style>
  <w:style w:type="paragraph" w:styleId="12">
    <w:name w:val="Body Text Indent 2"/>
    <w:basedOn w:val="1"/>
    <w:autoRedefine/>
    <w:semiHidden/>
    <w:qFormat/>
    <w:uiPriority w:val="0"/>
    <w:pPr>
      <w:spacing w:line="360" w:lineRule="auto"/>
      <w:ind w:firstLine="420" w:firstLineChars="200"/>
    </w:pPr>
  </w:style>
  <w:style w:type="paragraph" w:styleId="13">
    <w:name w:val="footer"/>
    <w:basedOn w:val="1"/>
    <w:autoRedefine/>
    <w:semiHidden/>
    <w:qFormat/>
    <w:uiPriority w:val="0"/>
    <w:pPr>
      <w:widowControl/>
      <w:tabs>
        <w:tab w:val="center" w:pos="4153"/>
        <w:tab w:val="right" w:pos="8306"/>
      </w:tabs>
      <w:snapToGrid w:val="0"/>
      <w:jc w:val="left"/>
    </w:pPr>
    <w:rPr>
      <w:kern w:val="0"/>
      <w:sz w:val="18"/>
      <w:szCs w:val="20"/>
    </w:rPr>
  </w:style>
  <w:style w:type="paragraph" w:styleId="14">
    <w:name w:val="header"/>
    <w:basedOn w:val="1"/>
    <w:autoRedefine/>
    <w:semiHidden/>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semiHidden/>
    <w:qFormat/>
    <w:uiPriority w:val="0"/>
  </w:style>
  <w:style w:type="paragraph" w:styleId="16">
    <w:name w:val="toc 4"/>
    <w:basedOn w:val="1"/>
    <w:next w:val="1"/>
    <w:autoRedefine/>
    <w:semiHidden/>
    <w:qFormat/>
    <w:uiPriority w:val="0"/>
    <w:pPr>
      <w:ind w:left="1260" w:leftChars="600"/>
    </w:pPr>
  </w:style>
  <w:style w:type="paragraph" w:styleId="17">
    <w:name w:val="toc 6"/>
    <w:basedOn w:val="1"/>
    <w:next w:val="1"/>
    <w:autoRedefine/>
    <w:semiHidden/>
    <w:qFormat/>
    <w:uiPriority w:val="0"/>
    <w:pPr>
      <w:ind w:left="2100" w:leftChars="1000"/>
    </w:pPr>
  </w:style>
  <w:style w:type="paragraph" w:styleId="18">
    <w:name w:val="toc 2"/>
    <w:basedOn w:val="1"/>
    <w:next w:val="1"/>
    <w:autoRedefine/>
    <w:semiHidden/>
    <w:qFormat/>
    <w:uiPriority w:val="0"/>
    <w:pPr>
      <w:tabs>
        <w:tab w:val="left" w:pos="1050"/>
        <w:tab w:val="right" w:leader="dot" w:pos="9062"/>
      </w:tabs>
      <w:ind w:left="420" w:leftChars="200"/>
    </w:pPr>
    <w:rPr>
      <w:rFonts w:ascii="宋体" w:hAnsi="宋体"/>
    </w:rPr>
  </w:style>
  <w:style w:type="paragraph" w:styleId="19">
    <w:name w:val="toc 9"/>
    <w:basedOn w:val="1"/>
    <w:next w:val="1"/>
    <w:autoRedefine/>
    <w:semiHidden/>
    <w:qFormat/>
    <w:uiPriority w:val="0"/>
    <w:pPr>
      <w:ind w:left="3360" w:leftChars="1600"/>
    </w:pPr>
  </w:style>
  <w:style w:type="character" w:styleId="22">
    <w:name w:val="page number"/>
    <w:basedOn w:val="21"/>
    <w:autoRedefine/>
    <w:semiHidden/>
    <w:qFormat/>
    <w:uiPriority w:val="0"/>
  </w:style>
  <w:style w:type="character" w:styleId="23">
    <w:name w:val="FollowedHyperlink"/>
    <w:basedOn w:val="21"/>
    <w:autoRedefine/>
    <w:semiHidden/>
    <w:qFormat/>
    <w:uiPriority w:val="0"/>
    <w:rPr>
      <w:color w:val="800080"/>
      <w:u w:val="single"/>
    </w:rPr>
  </w:style>
  <w:style w:type="character" w:styleId="24">
    <w:name w:val="Hyperlink"/>
    <w:basedOn w:val="21"/>
    <w:autoRedefine/>
    <w:semiHidden/>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sipo</Company>
  <Pages>3</Pages>
  <Words>740</Words>
  <Characters>4221</Characters>
  <Lines>35</Lines>
  <Paragraphs>9</Paragraphs>
  <TotalTime>3</TotalTime>
  <ScaleCrop>false</ScaleCrop>
  <LinksUpToDate>false</LinksUpToDate>
  <CharactersWithSpaces>4952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2023-08-24T06:51:00Z</dcterms:created>
  <dc:creator>方克</dc:creator>
  <cp:lastModifiedBy>Tom</cp:lastModifiedBy>
  <cp:lastPrinted>2003-07-14T07:12:00Z</cp:lastPrinted>
  <dcterms:modified xsi:type="dcterms:W3CDTF">2024-05-13T07:46:08Z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811CA2F85AB74811B249072D22733C5B_12</vt:lpwstr>
  </property>
</Properties>
</file>