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中华人民共和国外商投资法实施条例</w:t>
      </w:r>
      <w:bookmarkEnd w:id="0"/>
    </w:p>
    <w:p>
      <w:pPr>
        <w:jc w:val="center"/>
        <w:rPr>
          <w:rFonts w:ascii="宋体" w:hAnsi="宋体" w:eastAsia="宋体" w:cs="Arial"/>
          <w:bCs/>
          <w:sz w:val="44"/>
          <w:szCs w:val="44"/>
        </w:rPr>
      </w:pPr>
      <w:bookmarkStart w:id="1" w:name="TitleDescription"/>
      <w:bookmarkEnd w:id="1"/>
      <w:bookmarkStart w:id="2" w:name="AddRun"/>
      <w:bookmarkEnd w:id="2"/>
    </w:p>
    <w:p>
      <w:pPr>
        <w:pStyle w:val="2"/>
        <w:ind w:firstLine="632" w:firstLineChars="200"/>
        <w:rPr>
          <w:rFonts w:ascii="宋体" w:hAnsi="宋体" w:eastAsia="宋体" w:cs="Arial"/>
          <w:bCs/>
          <w:sz w:val="44"/>
          <w:szCs w:val="44"/>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19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日中华人民共和国国务院令第</w:t>
      </w:r>
      <w:r>
        <w:rPr>
          <w:rFonts w:hint="eastAsia" w:ascii="楷体_GB2312" w:hAnsi="楷体_GB2312" w:eastAsia="楷体_GB2312" w:cs="楷体_GB2312"/>
          <w:sz w:val="32"/>
          <w:szCs w:val="32"/>
          <w:lang w:val="en-US" w:eastAsia="zh-CN"/>
        </w:rPr>
        <w:t>723</w:t>
      </w:r>
      <w:bookmarkStart w:id="3" w:name="_GoBack"/>
      <w:bookmarkEnd w:id="3"/>
      <w:r>
        <w:rPr>
          <w:rFonts w:hint="eastAsia" w:ascii="楷体_GB2312" w:hAnsi="楷体_GB2312" w:eastAsia="楷体_GB2312" w:cs="楷体_GB2312"/>
          <w:sz w:val="32"/>
          <w:szCs w:val="32"/>
        </w:rPr>
        <w:t>号公布)</w:t>
      </w:r>
    </w:p>
    <w:p>
      <w:pPr>
        <w:ind w:left="632" w:leftChars="200" w:right="632" w:rightChars="200"/>
        <w:rPr>
          <w:rFonts w:ascii="宋体" w:hAnsi="宋体" w:eastAsia="宋体" w:cs="Arial"/>
          <w:bCs/>
          <w:szCs w:val="32"/>
        </w:rPr>
      </w:pP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根据《中华人民共和国外商投资法》（以下简称外商投资法），制定本条例。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国家鼓励和促进外商投资，保护外商投资合法权益，规范外商投资管理，持续优化外商投资环境，推进更高水平对外开放。</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外商投资法第二条第二款第一项、第三项所称其他投资者，包括中国的自然人在内。</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外商投资准入负面清单（以下简称负面清单）由国务院投资主管部门会同国务院商务主管部门等有关部门提出，报国务院发布或者报国务院批准后由国务院投资主管部门、商务主管部门发布。</w:t>
      </w:r>
    </w:p>
    <w:p>
      <w:pPr>
        <w:spacing w:line="240" w:lineRule="auto"/>
        <w:ind w:firstLine="640"/>
        <w:jc w:val="both"/>
      </w:pPr>
      <w:r>
        <w:rPr>
          <w:rFonts w:ascii="仿宋_GB2312" w:hAnsi="仿宋_GB2312" w:eastAsia="仿宋_GB2312" w:cs="仿宋_GB2312"/>
          <w:sz w:val="32"/>
        </w:rPr>
        <w:t>国家根据进一步扩大对外开放和经济社会发展需要，适时调整负面清单。调整负面清单的程序，适用前款规定。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国务院商务主管部门、投资主管部门以及其他有关部门按照职责分工，密切配合、相互协作，共同做好外商投资促进、保护和管理工作。</w:t>
      </w:r>
    </w:p>
    <w:p>
      <w:pPr>
        <w:spacing w:line="240" w:lineRule="auto"/>
        <w:ind w:firstLine="640"/>
        <w:jc w:val="both"/>
      </w:pPr>
      <w:r>
        <w:rPr>
          <w:rFonts w:ascii="仿宋_GB2312" w:hAnsi="仿宋_GB2312" w:eastAsia="仿宋_GB2312" w:cs="仿宋_GB2312"/>
          <w:sz w:val="32"/>
        </w:rPr>
        <w:t>县级以上地方人民政府应当加强对外商投资促进、保护和管理工作的组织领导，支持、督促有关部门依照法律法规和职责分工开展外商投资促进、保护和管理工作，及时协调、解决外商投资促进、保护和管理工作中的重大问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投资促进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政府及其有关部门在政府资金安排、土地供应、税费减免、资质许可、标准制定、项目申报、人力资源政策等方面，应当依法平等对待外商投资企业和内资企业。</w:t>
      </w:r>
    </w:p>
    <w:p>
      <w:pPr>
        <w:spacing w:line="240" w:lineRule="auto"/>
        <w:ind w:firstLine="640"/>
        <w:jc w:val="both"/>
      </w:pPr>
      <w:r>
        <w:rPr>
          <w:rFonts w:ascii="仿宋_GB2312" w:hAnsi="仿宋_GB2312" w:eastAsia="仿宋_GB2312" w:cs="仿宋_GB2312"/>
          <w:sz w:val="32"/>
        </w:rPr>
        <w:t>政府及其有关部门制定的支持企业发展的政策应当依法公开；对政策实施中需要由企业申请办理的事项，政府及其有关部门应当公开申请办理的条件、流程、时限等，并在审核中依法平等对待外商投资企业和内资企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制定与外商投资有关的行政法规、规章、规范性文件，或者政府及其有关部门起草与外商投资有关的法律、地方性法规，应当根据实际情况，采取书面征求意见以及召开座谈会、论证会、听证会等多种形式，听取外商投资企业和有关商会、协会等方面的意见和建议；对反映集中或者涉及外商投资企业重大权利义务问题的意见和建议，应当通过适当方式反馈采纳的情况。</w:t>
      </w:r>
    </w:p>
    <w:p>
      <w:pPr>
        <w:spacing w:line="240" w:lineRule="auto"/>
        <w:ind w:firstLine="640"/>
        <w:jc w:val="both"/>
      </w:pPr>
      <w:r>
        <w:rPr>
          <w:rFonts w:ascii="仿宋_GB2312" w:hAnsi="仿宋_GB2312" w:eastAsia="仿宋_GB2312" w:cs="仿宋_GB2312"/>
          <w:sz w:val="32"/>
        </w:rPr>
        <w:t>与外商投资有关的规范性文件应当依法及时公布，未经公布的不得作为行政管理依据。与外商投资企业生产经营活动密切相关的规范性文件，应当结合实际，合理确定公布到施行之间的时间。</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各级人民政府应当按照政府主导、多方参与的原则，建立健全外商投资服务体系，不断提升外商投资服务能力和水平。</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政府及其有关部门应当通过政府网站、全国一体化在线政务服务平台集中列明有关外商投资的法律、法规、规章、规范性文件、政策措施和投资项目信息，并通过多种途径和方式加强宣传、解读，为外国投资者和外商投资企业提供咨询、指导等服务。</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外商投资法第十三条所称特殊经济区域，是指经国家批准设立、实行更大力度的对外开放政策措施的特定区域。</w:t>
      </w:r>
    </w:p>
    <w:p>
      <w:pPr>
        <w:spacing w:line="240" w:lineRule="auto"/>
        <w:ind w:firstLine="640"/>
        <w:jc w:val="both"/>
      </w:pPr>
      <w:r>
        <w:rPr>
          <w:rFonts w:ascii="仿宋_GB2312" w:hAnsi="仿宋_GB2312" w:eastAsia="仿宋_GB2312" w:cs="仿宋_GB2312"/>
          <w:sz w:val="32"/>
        </w:rPr>
        <w:t>国家在部分地区实行的外商投资试验性政策措施，经实践证明可行的，根据实际情况在其他地区或者全国范围内推广。</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根据国民经济和社会发展需要，制定鼓励外商投资产业目录，列明鼓励和引导外国投资者投资的特定行业、领域、地区。鼓励外商投资产业目录由国务院投资主管部门会同国务院商务主管部门等有关部门拟订，报国务院批准后由国务院投资主管部门、商务主管部门发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外国投资者、外商投资企业可以依照法律、行政法规或者国务院的规定，享受财政、税收、金融、用地等方面的优惠待遇。</w:t>
      </w:r>
    </w:p>
    <w:p>
      <w:pPr>
        <w:spacing w:line="240" w:lineRule="auto"/>
        <w:ind w:firstLine="640"/>
        <w:jc w:val="both"/>
      </w:pPr>
      <w:r>
        <w:rPr>
          <w:rFonts w:ascii="仿宋_GB2312" w:hAnsi="仿宋_GB2312" w:eastAsia="仿宋_GB2312" w:cs="仿宋_GB2312"/>
          <w:sz w:val="32"/>
        </w:rPr>
        <w:t>外国投资者以其在中国境内的投资收益在中国境内扩大投资的，依法享受相应的优惠待遇。</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外商投资企业依法和内资企业平等参与国家标准、行业标准、地方标准和团体标准的制定、修订工作。外商投资企业可以根据需要自行制定或者与其他企业联合制定企业标准。</w:t>
      </w:r>
    </w:p>
    <w:p>
      <w:pPr>
        <w:spacing w:line="240" w:lineRule="auto"/>
        <w:ind w:firstLine="640"/>
        <w:jc w:val="both"/>
      </w:pPr>
      <w:r>
        <w:rPr>
          <w:rFonts w:ascii="仿宋_GB2312" w:hAnsi="仿宋_GB2312" w:eastAsia="仿宋_GB2312" w:cs="仿宋_GB2312"/>
          <w:sz w:val="32"/>
        </w:rPr>
        <w:t>外商投资企业可以向标准化行政主管部门和有关行政主管部门提出标准的立项建议，在标准立项、起草、技术审查以及标准实施信息反馈、评估等过程中提出意见和建议，并按照规定承担标准起草、技术审查的相关工作以及标准的外文翻译工作。</w:t>
      </w:r>
    </w:p>
    <w:p>
      <w:pPr>
        <w:spacing w:line="240" w:lineRule="auto"/>
        <w:ind w:firstLine="640"/>
        <w:jc w:val="both"/>
      </w:pPr>
      <w:r>
        <w:rPr>
          <w:rFonts w:ascii="仿宋_GB2312" w:hAnsi="仿宋_GB2312" w:eastAsia="仿宋_GB2312" w:cs="仿宋_GB2312"/>
          <w:sz w:val="32"/>
        </w:rPr>
        <w:t>标准化行政主管部门和有关行政主管部门应当建立健全相关工作机制，提高标准制定、修订的透明度，推进标准制定、修订全过程信息公开。</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国家制定的强制性标准对外商投资企业和内资企业平等适用，不得专门针对外商投资企业适用高于强制性标准的技术要求。</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政府及其有关部门不得阻挠和限制外商投资企业自由进入本地区和本行业的政府采购市场。</w:t>
      </w:r>
    </w:p>
    <w:p>
      <w:pPr>
        <w:spacing w:line="240" w:lineRule="auto"/>
        <w:ind w:firstLine="640"/>
        <w:jc w:val="both"/>
      </w:pPr>
      <w:r>
        <w:rPr>
          <w:rFonts w:ascii="仿宋_GB2312" w:hAnsi="仿宋_GB2312" w:eastAsia="仿宋_GB2312" w:cs="仿宋_GB2312"/>
          <w:sz w:val="32"/>
        </w:rPr>
        <w:t>政府采购的采购人、采购代理机构不得在政府采购信息发布、供应商条件确定和资格审查、评标标准等方面，对外商投资企业实行差别待遇或者歧视待遇，不得以所有制形式、组织形式、股权结构、投资者国别、产品或者服务品牌以及其他不合理的条件对供应商予以限定，不得对外商投资企业在中国境内生产的产品、提供的服务和内资企业区别对待。</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外商投资企业可以依照《中华人民共和国政府采购法》（以下简称政府采购法）及其实施条例的规定，就政府采购活动事项向采购人、采购代理机构提出询问、质疑，向政府采购监督管理部门投诉。采购人、采购代理机构、政府采购监督管理部门应当在规定的时限内作出答复或者处理决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政府采购监督管理部门和其他有关部门应当加强对政府采购活动的监督检查，依法纠正和查处对外商投资企业实行差别待遇或者歧视待遇等违法违规行为。</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外商投资企业可以依法在中国境内或者境外通过公开发行股票、公司债券等证券，以及公开或者非公开发行其他融资工具、借用外债等方式进行融资。</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县级以上地方人民政府可以根据法律、行政法规、地方性法规的规定，在法定权限内制定费用减免、用地指标保障、公共服务提供等方面的外商投资促进和便利化政策措施。</w:t>
      </w:r>
    </w:p>
    <w:p>
      <w:pPr>
        <w:spacing w:line="240" w:lineRule="auto"/>
        <w:ind w:firstLine="640"/>
        <w:jc w:val="both"/>
      </w:pPr>
      <w:r>
        <w:rPr>
          <w:rFonts w:ascii="仿宋_GB2312" w:hAnsi="仿宋_GB2312" w:eastAsia="仿宋_GB2312" w:cs="仿宋_GB2312"/>
          <w:sz w:val="32"/>
        </w:rPr>
        <w:t>县级以上地方人民政府制定外商投资促进和便利化政策措施，应当以推动高质量发展为导向，有利于提高经济效益、社会效益、生态效益，有利于持续优化外商投资环境。</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有关主管部门应当编制和公布外商投资指引，为外国投资者和外商投资企业提供服务和便利。外商投资指引应当包括投资环境介绍、外商投资办事指南、投资项目信息以及相关数据信息等内容，并及时更新。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投资保护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国家对外国投资者的投资不实行征收。</w:t>
      </w:r>
    </w:p>
    <w:p>
      <w:pPr>
        <w:spacing w:line="240" w:lineRule="auto"/>
        <w:ind w:firstLine="640"/>
        <w:jc w:val="both"/>
      </w:pPr>
      <w:r>
        <w:rPr>
          <w:rFonts w:ascii="仿宋_GB2312" w:hAnsi="仿宋_GB2312" w:eastAsia="仿宋_GB2312" w:cs="仿宋_GB2312"/>
          <w:sz w:val="32"/>
        </w:rPr>
        <w:t>在特殊情况下，国家为了公共利益的需要依照法律规定对外国投资者的投资实行征收的，应当依照法定程序、以非歧视性的方式进行，并按照被征收投资的市场价值及时给予补偿。</w:t>
      </w:r>
    </w:p>
    <w:p>
      <w:pPr>
        <w:spacing w:line="240" w:lineRule="auto"/>
        <w:ind w:firstLine="640"/>
        <w:jc w:val="both"/>
      </w:pPr>
      <w:r>
        <w:rPr>
          <w:rFonts w:ascii="仿宋_GB2312" w:hAnsi="仿宋_GB2312" w:eastAsia="仿宋_GB2312" w:cs="仿宋_GB2312"/>
          <w:sz w:val="32"/>
        </w:rPr>
        <w:t>外国投资者对征收决定不服的，可以依法申请行政复议或者提起行政诉讼。</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外国投资者在中国境内的出资、利润、资本收益、资产处置所得、取得的知识产权许可使用费、依法获得的补偿或者赔偿、清算所得等，可以依法以人民币或者外汇自由汇入、汇出，任何单位和个人不得违法对币种、数额以及汇入、汇出的频次等进行限制。</w:t>
      </w:r>
    </w:p>
    <w:p>
      <w:pPr>
        <w:spacing w:line="240" w:lineRule="auto"/>
        <w:ind w:firstLine="640"/>
        <w:jc w:val="both"/>
      </w:pPr>
      <w:r>
        <w:rPr>
          <w:rFonts w:ascii="仿宋_GB2312" w:hAnsi="仿宋_GB2312" w:eastAsia="仿宋_GB2312" w:cs="仿宋_GB2312"/>
          <w:sz w:val="32"/>
        </w:rPr>
        <w:t>外商投资企业的外籍职工和香港、澳门、台湾职工的工资收入和其他合法收入，可以依法自由汇出。</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国家加大对知识产权侵权行为的惩处力度，持续强化知识产权执法，推动建立知识产权快速协同保护机制，健全知识产权纠纷多元化解决机制，平等保护外国投资者和外商投资企业的知识产权。</w:t>
      </w:r>
    </w:p>
    <w:p>
      <w:pPr>
        <w:spacing w:line="240" w:lineRule="auto"/>
        <w:ind w:firstLine="640"/>
        <w:jc w:val="both"/>
      </w:pPr>
      <w:r>
        <w:rPr>
          <w:rFonts w:ascii="仿宋_GB2312" w:hAnsi="仿宋_GB2312" w:eastAsia="仿宋_GB2312" w:cs="仿宋_GB2312"/>
          <w:sz w:val="32"/>
        </w:rPr>
        <w:t>标准制定中涉及外国投资者和外商投资企业专利的，应当按照标准涉及专利的有关管理规定办理。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行政机关（包括法律、法规授权的具有管理公共事务职能的组织，下同）及其工作人员不得利用实施行政许可、行政检查、行政处罚、行政强制以及其他行政手段，强制或者变相强制外国投资者、外商投资企业转让技术。</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行政机关依法履行职责，确需外国投资者、外商投资企业提供涉及商业秘密的材料、信息的，应当限定在履行职责所必需的范围内，并严格控制知悉范围，与履行职责无关的人员不得接触有关材料、信息。</w:t>
      </w:r>
    </w:p>
    <w:p>
      <w:pPr>
        <w:spacing w:line="240" w:lineRule="auto"/>
        <w:ind w:firstLine="640"/>
        <w:jc w:val="both"/>
      </w:pPr>
      <w:r>
        <w:rPr>
          <w:rFonts w:ascii="仿宋_GB2312" w:hAnsi="仿宋_GB2312" w:eastAsia="仿宋_GB2312" w:cs="仿宋_GB2312"/>
          <w:sz w:val="32"/>
        </w:rPr>
        <w:t>行政机关应当建立健全内部管理制度，采取有效措施保护履行职责过程中知悉的外国投资者、外商投资企业的商业秘密；依法需要与其他行政机关共享信息的，应当对信息中含有的商业秘密进行保密处理，防止泄露。</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政府及其有关部门制定涉及外商投资的规范性文件，应当按照国务院的规定进行合法性审核。</w:t>
      </w:r>
    </w:p>
    <w:p>
      <w:pPr>
        <w:spacing w:line="240" w:lineRule="auto"/>
        <w:ind w:firstLine="640"/>
        <w:jc w:val="both"/>
      </w:pPr>
      <w:r>
        <w:rPr>
          <w:rFonts w:ascii="仿宋_GB2312" w:hAnsi="仿宋_GB2312" w:eastAsia="仿宋_GB2312" w:cs="仿宋_GB2312"/>
          <w:sz w:val="32"/>
        </w:rPr>
        <w:t>外国投资者、外商投资企业认为行政行为所依据的国务院部门和地方人民政府及其部门制定的规范性文件不合法，在依法对行政行为申请行政复议或者提起行政诉讼时，可以一并请求对该规范性文件进行审查。</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外商投资法第二十五条所称政策承诺，是指地方各级人民政府及其有关部门在法定权限内，就外国投资者、外商投资企业在本地区投资所适用的支持政策、享受的优惠待遇和便利条件等作出的书面承诺。政策承诺的内容应当符合法律、法规规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地方各级人民政府及其有关部门应当履行向外国投资者、外商投资企业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外国投资者、外商投资企业因此受到的损失及时予以公平、合理的补偿。</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县级以上人民政府及其有关部门应当按照公开透明、高效便利的原则，建立健全外商投资企业投诉工作机制，及时处理外商投资企业或者其投资者反映的问题，协调完善相关政策措施。</w:t>
      </w:r>
    </w:p>
    <w:p>
      <w:pPr>
        <w:spacing w:line="240" w:lineRule="auto"/>
        <w:ind w:firstLine="640"/>
        <w:jc w:val="both"/>
      </w:pPr>
      <w:r>
        <w:rPr>
          <w:rFonts w:ascii="仿宋_GB2312" w:hAnsi="仿宋_GB2312" w:eastAsia="仿宋_GB2312" w:cs="仿宋_GB2312"/>
          <w:sz w:val="32"/>
        </w:rPr>
        <w:t>国务院商务主管部门会同国务院有关部门建立外商投资企业投诉工作部际联席会议制度，协调、推动中央层面的外商投资企业投诉工作，对地方的外商投资企业投诉工作进行指导和监督。县级以上地方人民政府应当指定部门或者机构负责受理本地区外商投资企业或者其投资者的投诉。</w:t>
      </w:r>
    </w:p>
    <w:p>
      <w:pPr>
        <w:spacing w:line="240" w:lineRule="auto"/>
        <w:ind w:firstLine="640"/>
        <w:jc w:val="both"/>
      </w:pPr>
      <w:r>
        <w:rPr>
          <w:rFonts w:ascii="仿宋_GB2312" w:hAnsi="仿宋_GB2312" w:eastAsia="仿宋_GB2312" w:cs="仿宋_GB2312"/>
          <w:sz w:val="32"/>
        </w:rPr>
        <w:t>国务院商务主管部门、县级以上地方人民政府指定的部门或者机构应当完善投诉工作规则、健全投诉方式、明确投诉处理时限。投诉工作规则、投诉方式、投诉处理时限应当对外公布。</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外商投资企业或者其投资者认为行政机关及其工作人员的行政行为侵犯其合法权益，通过外商投资企业投诉工作机制申请协调解决的，有关方面进行协调时可以向被申请的行政机关及其工作人员了解情况，被申请的行政机关及其工作人员应当予以配合。协调结果应当以书面形式及时告知申请人。</w:t>
      </w:r>
    </w:p>
    <w:p>
      <w:pPr>
        <w:spacing w:line="240" w:lineRule="auto"/>
        <w:ind w:firstLine="640"/>
        <w:jc w:val="both"/>
      </w:pPr>
      <w:r>
        <w:rPr>
          <w:rFonts w:ascii="仿宋_GB2312" w:hAnsi="仿宋_GB2312" w:eastAsia="仿宋_GB2312" w:cs="仿宋_GB2312"/>
          <w:sz w:val="32"/>
        </w:rPr>
        <w:t>外商投资企业或者其投资者依照前款规定申请协调解决有关问题的，不影响其依法申请行政复议、提起行政诉讼。</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对外商投资企业或者其投资者通过外商投资企业投诉工作机制反映或者申请协调解决问题，任何单位和个人不得压制或者打击报复。</w:t>
      </w:r>
    </w:p>
    <w:p>
      <w:pPr>
        <w:spacing w:line="240" w:lineRule="auto"/>
        <w:ind w:firstLine="640"/>
        <w:jc w:val="both"/>
      </w:pPr>
      <w:r>
        <w:rPr>
          <w:rFonts w:ascii="仿宋_GB2312" w:hAnsi="仿宋_GB2312" w:eastAsia="仿宋_GB2312" w:cs="仿宋_GB2312"/>
          <w:sz w:val="32"/>
        </w:rPr>
        <w:t>除外商投资企业投诉工作机制外，外商投资企业或者其投资者还可以通过其他合法途径向政府及其有关部门反映问题。</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外商投资企业可以依法成立商会、协会。除法律、法规另有规定外，外商投资企业有权自主决定参加或者退出商会、协会，任何单位和个人不得干预。</w:t>
      </w:r>
    </w:p>
    <w:p>
      <w:pPr>
        <w:spacing w:line="240" w:lineRule="auto"/>
        <w:ind w:firstLine="640"/>
        <w:jc w:val="both"/>
      </w:pPr>
      <w:r>
        <w:rPr>
          <w:rFonts w:ascii="仿宋_GB2312" w:hAnsi="仿宋_GB2312" w:eastAsia="仿宋_GB2312" w:cs="仿宋_GB2312"/>
          <w:sz w:val="32"/>
        </w:rPr>
        <w:t>商会、协会应当依照法律法规和章程的规定，加强行业自律，及时反映行业诉求，为会员提供信息咨询、宣传培训、市场拓展、经贸交流、权益保护、纠纷处理等方面的服务。</w:t>
      </w:r>
    </w:p>
    <w:p>
      <w:pPr>
        <w:spacing w:line="240" w:lineRule="auto"/>
        <w:ind w:firstLine="640"/>
        <w:jc w:val="both"/>
      </w:pPr>
      <w:r>
        <w:rPr>
          <w:rFonts w:ascii="仿宋_GB2312" w:hAnsi="仿宋_GB2312" w:eastAsia="仿宋_GB2312" w:cs="仿宋_GB2312"/>
          <w:sz w:val="32"/>
        </w:rPr>
        <w:t>国家支持商会、协会依照法律法规和章程的规定开展相关活动。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投资管理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负面清单规定禁止投资的领域，外国投资者不得投资。负面清单规定限制投资的领域，外国投资者进行投资应当符合负面清单规定的股权要求、高级管理人员要求等限制性准入特别管理措施。</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有关主管部门在依法履行职责过程中，对外国投资者拟投资负面清单内领域，但不符合负面清单规定的，不予办理许可、企业登记注册等相关事项；涉及固定资产投资项目核准的，不予办理相关核准事项。</w:t>
      </w:r>
    </w:p>
    <w:p>
      <w:pPr>
        <w:spacing w:line="240" w:lineRule="auto"/>
        <w:ind w:firstLine="640"/>
        <w:jc w:val="both"/>
      </w:pPr>
      <w:r>
        <w:rPr>
          <w:rFonts w:ascii="仿宋_GB2312" w:hAnsi="仿宋_GB2312" w:eastAsia="仿宋_GB2312" w:cs="仿宋_GB2312"/>
          <w:sz w:val="32"/>
        </w:rPr>
        <w:t>有关主管部门应当对负面清单规定执行情况加强监督检查，发现外国投资者投资负面清单规定禁止投资的领域，或者外国投资者的投资活动违反负面清单规定的限制性准入特别管理措施的，依照外商投资法第三十六条的规定予以处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外国投资者在依法需要取得许可的行业、领域进行投资的，除法律、行政法规另有规定外，负责实施许可的有关主管部门应当按照与内资一致的条件和程序，审核外国投资者的许可申请，不得在许可条件、申请材料、审核环节、审核时限等方面对外国投资者设置歧视性要求。</w:t>
      </w:r>
    </w:p>
    <w:p>
      <w:pPr>
        <w:spacing w:line="240" w:lineRule="auto"/>
        <w:ind w:firstLine="640"/>
        <w:jc w:val="both"/>
      </w:pPr>
      <w:r>
        <w:rPr>
          <w:rFonts w:ascii="仿宋_GB2312" w:hAnsi="仿宋_GB2312" w:eastAsia="仿宋_GB2312" w:cs="仿宋_GB2312"/>
          <w:sz w:val="32"/>
        </w:rPr>
        <w:t>负责实施许可的有关主管部门应当通过多种方式，优化审批服务，提高审批效率。对符合相关条件和要求的许可事项，可以按照有关规定采取告知承诺的方式办理。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外商投资需要办理投资项目核准、备案的，按照国家有关规定执行。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外商投资企业的登记注册，由国务院市场监督管理部门或者其授权的地方人民政府市场监督管理部门依法办理。国务院市场监督管理部门应当公布其授权的市场监督管理部门名单。</w:t>
      </w:r>
    </w:p>
    <w:p>
      <w:pPr>
        <w:spacing w:line="240" w:lineRule="auto"/>
        <w:ind w:firstLine="640"/>
        <w:jc w:val="both"/>
      </w:pPr>
      <w:r>
        <w:rPr>
          <w:rFonts w:ascii="仿宋_GB2312" w:hAnsi="仿宋_GB2312" w:eastAsia="仿宋_GB2312" w:cs="仿宋_GB2312"/>
          <w:sz w:val="32"/>
        </w:rPr>
        <w:t>外商投资企业的注册资本可以用人民币表示，也可以用可自由兑换货币表示。</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外国投资者或者外商投资企业应当通过企业登记系统以及企业信用信息公示系统向商务主管部门报送投资信息。国务院商务主管部门、市场监督管理部门应当做好相关业务系统的对接和工作衔接，并为外国投资者或者外商投资企业报送投资信息提供指导。</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外商投资信息报告的内容、范围、频次和具体流程，由国务院商务主管部门会同国务院市场监督管理部门等有关部门按照确有必要、高效便利的原则确定并公布。商务主管部门、其他有关部门应当加强信息共享，通过部门信息共享能够获得的投资信息，不得再行要求外国投资者或者外商投资企业报送。</w:t>
      </w:r>
    </w:p>
    <w:p>
      <w:pPr>
        <w:spacing w:line="240" w:lineRule="auto"/>
        <w:ind w:firstLine="640"/>
        <w:jc w:val="both"/>
      </w:pPr>
      <w:r>
        <w:rPr>
          <w:rFonts w:ascii="仿宋_GB2312" w:hAnsi="仿宋_GB2312" w:eastAsia="仿宋_GB2312" w:cs="仿宋_GB2312"/>
          <w:sz w:val="32"/>
        </w:rPr>
        <w:t>外国投资者或者外商投资企业报送的投资信息应当真实、准确、完整。</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国家建立外商投资安全审查制度，对影响或者可能影响国家安全的外商投资进行安全审查。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政府和有关部门及其工作人员有下列情形之一的，依法依规追究责任：</w:t>
      </w:r>
    </w:p>
    <w:p>
      <w:pPr>
        <w:spacing w:line="240" w:lineRule="auto"/>
        <w:ind w:firstLine="640"/>
        <w:jc w:val="both"/>
      </w:pPr>
      <w:r>
        <w:rPr>
          <w:rFonts w:ascii="仿宋_GB2312" w:hAnsi="仿宋_GB2312" w:eastAsia="仿宋_GB2312" w:cs="仿宋_GB2312"/>
          <w:sz w:val="32"/>
        </w:rPr>
        <w:t>（一）制定或者实施有关政策不依法平等对待外商投资企业和内资企业；</w:t>
      </w:r>
    </w:p>
    <w:p>
      <w:pPr>
        <w:spacing w:line="240" w:lineRule="auto"/>
        <w:ind w:firstLine="640"/>
        <w:jc w:val="both"/>
      </w:pPr>
      <w:r>
        <w:rPr>
          <w:rFonts w:ascii="仿宋_GB2312" w:hAnsi="仿宋_GB2312" w:eastAsia="仿宋_GB2312" w:cs="仿宋_GB2312"/>
          <w:sz w:val="32"/>
        </w:rPr>
        <w:t>（二）违法限制外商投资企业平等参与标准制定、修订工作，或者专门针对外商投资企业适用高于强制性标准的技术要求；</w:t>
      </w:r>
    </w:p>
    <w:p>
      <w:pPr>
        <w:spacing w:line="240" w:lineRule="auto"/>
        <w:ind w:firstLine="640"/>
        <w:jc w:val="both"/>
      </w:pPr>
      <w:r>
        <w:rPr>
          <w:rFonts w:ascii="仿宋_GB2312" w:hAnsi="仿宋_GB2312" w:eastAsia="仿宋_GB2312" w:cs="仿宋_GB2312"/>
          <w:sz w:val="32"/>
        </w:rPr>
        <w:t>（三）违法限制外国投资者汇入、汇出资金；</w:t>
      </w:r>
    </w:p>
    <w:p>
      <w:pPr>
        <w:spacing w:line="240" w:lineRule="auto"/>
        <w:ind w:firstLine="640"/>
        <w:jc w:val="both"/>
      </w:pPr>
      <w:r>
        <w:rPr>
          <w:rFonts w:ascii="仿宋_GB2312" w:hAnsi="仿宋_GB2312" w:eastAsia="仿宋_GB2312" w:cs="仿宋_GB2312"/>
          <w:sz w:val="32"/>
        </w:rPr>
        <w:t>（四）不履行向外国投资者、外商投资企业依法作出的政策承诺以及依法订立的各类合同，超出法定权限作出政策承诺，或者政策承诺的内容不符合法律、法规规定。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政府采购的采购人、采购代理机构以不合理的条件对外商投资企业实行差别待遇或者歧视待遇的，依照政府采购法及其实施条例的规定追究其法律责任；影响或者可能影响中标、成交结果的，依照政府采购法及其实施条例的规定处理。</w:t>
      </w:r>
    </w:p>
    <w:p>
      <w:pPr>
        <w:spacing w:line="240" w:lineRule="auto"/>
        <w:ind w:firstLine="640"/>
        <w:jc w:val="both"/>
      </w:pPr>
      <w:r>
        <w:rPr>
          <w:rFonts w:ascii="仿宋_GB2312" w:hAnsi="仿宋_GB2312" w:eastAsia="仿宋_GB2312" w:cs="仿宋_GB2312"/>
          <w:sz w:val="32"/>
        </w:rPr>
        <w:t>政府采购监督管理部门对外商投资企业的投诉逾期未作处理的，对直接负责的主管人员和其他直接责任人员依法给予处分。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行政机关及其工作人员利用行政手段强制或者变相强制外国投资者、外商投资企业转让技术的，对直接负责的主管人员和其他直接责任人员依法给予处分。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外商投资法施行前依照《中华人民共和国中外合资经营企业法》、《中华人民共和国外资企业法》、《中华人民共和国中外合作经营企业法》设立的外商投资企业（以下称现有外商投资企业），在外商投资法施行后</w:t>
      </w:r>
      <w:r>
        <w:rPr>
          <w:rFonts w:hint="default" w:ascii="Times New Roman" w:hAnsi="Times New Roman" w:eastAsia="仿宋_GB2312" w:cs="Times New Roman"/>
          <w:sz w:val="32"/>
        </w:rPr>
        <w:t>5</w:t>
      </w:r>
      <w:r>
        <w:rPr>
          <w:rFonts w:ascii="仿宋_GB2312" w:hAnsi="仿宋_GB2312" w:eastAsia="仿宋_GB2312" w:cs="仿宋_GB2312"/>
          <w:sz w:val="32"/>
        </w:rPr>
        <w:t>年内，可以依照《中华人民共和国公司法》、《中华人民共和国合伙企业法》等法律的规定调整其组织形式、组织机构等，并依法办理变更登记，也可以继续保留原企业组织形式、组织机构等。</w:t>
      </w:r>
    </w:p>
    <w:p>
      <w:pPr>
        <w:spacing w:line="240" w:lineRule="auto"/>
        <w:ind w:firstLine="640"/>
        <w:jc w:val="both"/>
      </w:pPr>
      <w:r>
        <w:rPr>
          <w:rFonts w:ascii="仿宋_GB2312" w:hAnsi="仿宋_GB2312" w:eastAsia="仿宋_GB2312" w:cs="仿宋_GB2312"/>
          <w:sz w:val="32"/>
        </w:rPr>
        <w:t>自</w:t>
      </w:r>
      <w:r>
        <w:rPr>
          <w:rFonts w:hint="default" w:ascii="Times New Roman" w:hAnsi="Times New Roman" w:eastAsia="仿宋_GB2312" w:cs="Times New Roman"/>
          <w:sz w:val="32"/>
        </w:rPr>
        <w:t>2025</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日起，对未依法调整组织形式、组织机构等并办理变更登记的现有外商投资企业，市场监督管理部门不予办理其申请的其他登记事项，并将相关情形予以公示。</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现有外商投资企业办理组织形式、组织机构等变更登记的具体事宜，由国务院市场监督管理部门规定并公布。国务院市场监督管理部门应当加强对变更登记工作的指导，负责办理变更登记的市场监督管理部门应当通过多种方式优化服务，为企业办理变更登记提供便利。</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现有外商投资企业的组织形式、组织机构等依法调整后，原合营、合作各方在合同中约定的股权或者权益转让办法、收益分配办法、剩余财产分配办法等，可以继续按照约定办理。</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外商投资企业在中国境内投资，适用外商投资法和本条例的有关规定。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香港特别行政区、澳门特别行政区投资者在内地投资，参照外商投资法和本条例执行；法律、行政法规或者国务院另有规定的，从其规定。</w:t>
      </w:r>
    </w:p>
    <w:p>
      <w:pPr>
        <w:spacing w:line="240" w:lineRule="auto"/>
        <w:ind w:firstLine="640"/>
        <w:jc w:val="both"/>
      </w:pPr>
      <w:r>
        <w:rPr>
          <w:rFonts w:ascii="仿宋_GB2312" w:hAnsi="仿宋_GB2312" w:eastAsia="仿宋_GB2312" w:cs="仿宋_GB2312"/>
          <w:sz w:val="32"/>
        </w:rPr>
        <w:t>台湾地区投资者在大陆投资，适用《中华人民共和国台湾同胞投资保护法》（以下简称台湾同胞投资保护法）及其实施细则的规定；台湾同胞投资保护法及其实施细则未规定的事项，参照外商投资法和本条例执行。</w:t>
      </w:r>
    </w:p>
    <w:p>
      <w:pPr>
        <w:spacing w:line="240" w:lineRule="auto"/>
        <w:ind w:firstLine="640"/>
        <w:jc w:val="both"/>
      </w:pPr>
      <w:r>
        <w:rPr>
          <w:rFonts w:ascii="仿宋_GB2312" w:hAnsi="仿宋_GB2312" w:eastAsia="仿宋_GB2312" w:cs="仿宋_GB2312"/>
          <w:sz w:val="32"/>
        </w:rPr>
        <w:t>定居在国外的中国公民在中国境内投资，参照外商投资法和本条例执行；法律、行政法规或者国务院另有规定的，从其规定。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本条例自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日起施行。《中华人民共和国中外合资经营企业法实施条例》、《中外合资经营企业合营期限暂行规定》、《中华人民共和国外资企业法实施细则》、《中华人民共和国中外合作经营企业法实施细则》同时废止。</w:t>
      </w:r>
    </w:p>
    <w:p>
      <w:pPr>
        <w:spacing w:line="240" w:lineRule="auto"/>
        <w:ind w:firstLine="640"/>
        <w:jc w:val="both"/>
      </w:pP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日前制定的有关外商投资的规定与外商投资法和本条例不一致的，以外商投资法和本条例的规定为准。</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2775708"/>
    <w:rsid w:val="76022F5E"/>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semiHidden/>
    <w:unhideWhenUsed/>
    <w:qFormat/>
    <w:uiPriority w:val="99"/>
    <w:rPr>
      <w:color w:val="954F72"/>
      <w:u w:val="single"/>
    </w:rPr>
  </w:style>
  <w:style w:type="character" w:styleId="8">
    <w:name w:val="Hyperlink"/>
    <w:uiPriority w:val="99"/>
    <w:rPr>
      <w:rFonts w:hint="default" w:ascii="ˎ̥" w:hAnsi="ˎ̥"/>
      <w:color w:val="0404B3"/>
      <w:sz w:val="18"/>
      <w:szCs w:val="18"/>
      <w:u w:val="none"/>
    </w:rPr>
  </w:style>
  <w:style w:type="character" w:customStyle="1" w:styleId="9">
    <w:name w:val="页眉 字符"/>
    <w:link w:val="4"/>
    <w:qFormat/>
    <w:uiPriority w:val="99"/>
    <w:rPr>
      <w:sz w:val="18"/>
      <w:szCs w:val="18"/>
    </w:rPr>
  </w:style>
  <w:style w:type="character" w:customStyle="1" w:styleId="10">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杨晓曦</cp:lastModifiedBy>
  <dcterms:modified xsi:type="dcterms:W3CDTF">2022-09-22T08:58:27Z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