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szCs w:val="44"/>
          <w14:textFill>
            <w14:solidFill>
              <w14:schemeClr w14:val="tx1"/>
            </w14:solidFill>
          </w14:textFill>
        </w:rPr>
        <w:t>再生资源回收管理办法</w:t>
      </w: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（2007年3月27日商务部、国家发展和改革委员会、公安部、建设部、国家工商行政管理总局、国家环境保护总局令2007年第8号公布　根据2019年11月30日商务部令2019年第1号修正）</w:t>
      </w:r>
    </w:p>
    <w:p>
      <w:pPr>
        <w:spacing w:line="594" w:lineRule="exact"/>
        <w:rPr>
          <w:rFonts w:ascii="Times New Roman" w:hAnsi="Times New Roman"/>
          <w:color w:val="000000" w:themeColor="text1"/>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黑体" w:eastAsia="黑体" w:cs="Times New Roman"/>
          <w:color w:val="000000" w:themeColor="text1"/>
          <w:kern w:val="2"/>
          <w:sz w:val="32"/>
          <w:szCs w:val="32"/>
          <w14:textFill>
            <w14:solidFill>
              <w14:schemeClr w14:val="tx1"/>
            </w14:solidFill>
          </w14:textFill>
        </w:rPr>
        <w:t>总</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仿宋_GB2312" w:eastAsia="仿宋_GB2312" w:cs="Times New Roman"/>
          <w:color w:val="000000" w:themeColor="text1"/>
          <w:kern w:val="2"/>
          <w:sz w:val="32"/>
          <w:szCs w:val="32"/>
          <w14:textFill>
            <w14:solidFill>
              <w14:schemeClr w14:val="tx1"/>
            </w14:solidFill>
          </w14:textFill>
        </w:rPr>
        <w:t>　为促进再生资源回收，规范再生资源回收行业的发展，节约资源，保护环境，实现经济与社会可持续发展，根据《中华人民共和国清洁生产促进法》、《中华人民共和国固体废物污染环境防治法》等法律法规，制定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仿宋_GB2312" w:eastAsia="仿宋_GB2312" w:cs="Times New Roman"/>
          <w:color w:val="000000" w:themeColor="text1"/>
          <w:kern w:val="2"/>
          <w:sz w:val="32"/>
          <w:szCs w:val="32"/>
          <w14:textFill>
            <w14:solidFill>
              <w14:schemeClr w14:val="tx1"/>
            </w14:solidFill>
          </w14:textFill>
        </w:rPr>
        <w:t>　本办法所称再生资源，是指在社会生产和生活消费过程中产生的，已经失去原有全部或部分使用价值，经过回收、加工处理，能够使其重新获得使用价值的各种废弃物。</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再生资源包括废旧金属、报废电子产品、报废机电设备及其零部件、废造纸原料（如废纸、废棉等）、废轻化工原料（如橡胶、塑料、农药包装物、动物杂骨、毛发等）、废玻璃等。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仿宋_GB2312" w:eastAsia="仿宋_GB2312" w:cs="Times New Roman"/>
          <w:color w:val="000000" w:themeColor="text1"/>
          <w:kern w:val="2"/>
          <w:sz w:val="32"/>
          <w:szCs w:val="32"/>
          <w14:textFill>
            <w14:solidFill>
              <w14:schemeClr w14:val="tx1"/>
            </w14:solidFill>
          </w14:textFill>
        </w:rPr>
        <w:t>　在中华人民共和国境内从事再生资源回收经营活动的企业和个体工商户（统称</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再生资源回收经营者</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）应当遵守本办法。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法律法规和规章对进口可用作原料的固体废物、危险废物、报废汽车的回收管理另有规定的，从其规定。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仿宋_GB2312" w:eastAsia="仿宋_GB2312" w:cs="Times New Roman"/>
          <w:color w:val="000000" w:themeColor="text1"/>
          <w:kern w:val="2"/>
          <w:sz w:val="32"/>
          <w:szCs w:val="32"/>
          <w14:textFill>
            <w14:solidFill>
              <w14:schemeClr w14:val="tx1"/>
            </w14:solidFill>
          </w14:textFill>
        </w:rPr>
        <w:t>　国家鼓励全社会各行各业和城乡居民积攒交售再生资源。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仿宋_GB2312" w:eastAsia="仿宋_GB2312" w:cs="Times New Roman"/>
          <w:color w:val="000000" w:themeColor="text1"/>
          <w:kern w:val="2"/>
          <w:sz w:val="32"/>
          <w:szCs w:val="32"/>
          <w14:textFill>
            <w14:solidFill>
              <w14:schemeClr w14:val="tx1"/>
            </w14:solidFill>
          </w14:textFill>
        </w:rPr>
        <w:t>　国家鼓励以环境无害化方式回收处理再生资源，鼓励开展有关再生资源回收处理的科学研究、技术开发和推广。</w:t>
      </w:r>
    </w:p>
    <w:p>
      <w:pPr>
        <w:pStyle w:val="6"/>
        <w:shd w:val="clear" w:color="auto" w:fill="FFFFFF"/>
        <w:spacing w:before="0" w:beforeAutospacing="0" w:after="0" w:afterAutospacing="0" w:line="594" w:lineRule="exact"/>
        <w:jc w:val="both"/>
        <w:rPr>
          <w:rFonts w:hint="eastAsia"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hint="eastAsia" w:ascii="Times New Roman" w:hAnsi="黑体"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第二章  </w:t>
      </w:r>
      <w:r>
        <w:rPr>
          <w:rFonts w:ascii="Times New Roman" w:hAnsi="黑体" w:eastAsia="黑体" w:cs="Times New Roman"/>
          <w:color w:val="000000" w:themeColor="text1"/>
          <w:kern w:val="2"/>
          <w:sz w:val="32"/>
          <w:szCs w:val="32"/>
          <w14:textFill>
            <w14:solidFill>
              <w14:schemeClr w14:val="tx1"/>
            </w14:solidFill>
          </w14:textFill>
        </w:rPr>
        <w:t>经营规则</w:t>
      </w:r>
    </w:p>
    <w:p>
      <w:pPr>
        <w:pStyle w:val="6"/>
        <w:shd w:val="clear" w:color="auto" w:fill="FFFFFF"/>
        <w:spacing w:before="0" w:beforeAutospacing="0" w:after="0" w:afterAutospacing="0" w:line="594" w:lineRule="exact"/>
        <w:ind w:left="1280"/>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仿宋_GB2312" w:eastAsia="仿宋_GB2312" w:cs="Times New Roman"/>
          <w:color w:val="000000" w:themeColor="text1"/>
          <w:kern w:val="2"/>
          <w:sz w:val="32"/>
          <w:szCs w:val="32"/>
          <w14:textFill>
            <w14:solidFill>
              <w14:schemeClr w14:val="tx1"/>
            </w14:solidFill>
          </w14:textFill>
        </w:rPr>
        <w:t>　从事再生资源回收经营活动，必须符合工商行政管理登记条件，工商注册登记后，方可从事经营活动。</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再生资源回收经营者备案事项整合到营业执照上，市场监管部门核准工商注册登记后，通过省级共享平台将企业信息共享给各相关部门。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仿宋_GB2312" w:eastAsia="仿宋_GB2312" w:cs="Times New Roman"/>
          <w:color w:val="000000" w:themeColor="text1"/>
          <w:kern w:val="2"/>
          <w:sz w:val="32"/>
          <w:szCs w:val="32"/>
          <w14:textFill>
            <w14:solidFill>
              <w14:schemeClr w14:val="tx1"/>
            </w14:solidFill>
          </w14:textFill>
        </w:rPr>
        <w:t>　回收生产性废旧金属的再生资源回收企业和回收非生产性废旧金属的再生资源回收经营者，还应当在取得营业执照后</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日内，向所在地县级人民政府公安机关备案。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备案事项发生变更时，前款所列再生资源回收经营者应当自变更之日起</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日内（属于工商登记事项的自工商登记变更之日起</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日内）向县级人民政府公安机关办理变更手续。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仿宋_GB2312" w:eastAsia="仿宋_GB2312" w:cs="Times New Roman"/>
          <w:color w:val="000000" w:themeColor="text1"/>
          <w:kern w:val="2"/>
          <w:sz w:val="32"/>
          <w:szCs w:val="32"/>
          <w14:textFill>
            <w14:solidFill>
              <w14:schemeClr w14:val="tx1"/>
            </w14:solidFill>
          </w14:textFill>
        </w:rPr>
        <w:t>　生产企业应当通过与再生资源回收企业签订收购合同的方式交售生产性废旧金属。收购合同中应当约定所回收生产性废旧金属的名称、数量、规格，回收期次，结算方式等。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仿宋_GB2312" w:eastAsia="仿宋_GB2312" w:cs="Times New Roman"/>
          <w:color w:val="000000" w:themeColor="text1"/>
          <w:kern w:val="2"/>
          <w:sz w:val="32"/>
          <w:szCs w:val="32"/>
          <w14:textFill>
            <w14:solidFill>
              <w14:schemeClr w14:val="tx1"/>
            </w14:solidFill>
          </w14:textFill>
        </w:rPr>
        <w:t>　再生资源回收企业回收生产性废旧金属时，应当对物品的名称、数量、规格、新旧程度等如实进行登记。</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出售人为单位的，应当查验出售单位开具的证明，并如实登记出售单位名称、经办人姓名、住址、身份证号码；出售人为个人的，应当如实登记出售人的姓名、住址、身份证号码。</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登记资料保存期限不得少于</w:t>
      </w:r>
      <w:r>
        <w:rPr>
          <w:rFonts w:ascii="Times New Roman" w:hAnsi="Times New Roman" w:eastAsia="仿宋_GB2312" w:cs="Times New Roman"/>
          <w:color w:val="000000" w:themeColor="text1"/>
          <w:kern w:val="2"/>
          <w:sz w:val="32"/>
          <w:szCs w:val="32"/>
          <w14:textFill>
            <w14:solidFill>
              <w14:schemeClr w14:val="tx1"/>
            </w14:solidFill>
          </w14:textFill>
        </w:rPr>
        <w:t>2</w:t>
      </w:r>
      <w:r>
        <w:rPr>
          <w:rFonts w:ascii="Times New Roman" w:hAnsi="仿宋_GB2312" w:eastAsia="仿宋_GB2312" w:cs="Times New Roman"/>
          <w:color w:val="000000" w:themeColor="text1"/>
          <w:kern w:val="2"/>
          <w:sz w:val="32"/>
          <w:szCs w:val="32"/>
          <w14:textFill>
            <w14:solidFill>
              <w14:schemeClr w14:val="tx1"/>
            </w14:solidFill>
          </w14:textFill>
        </w:rPr>
        <w:t>年。</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仿宋_GB2312" w:eastAsia="仿宋_GB2312" w:cs="Times New Roman"/>
          <w:color w:val="000000" w:themeColor="text1"/>
          <w:kern w:val="2"/>
          <w:sz w:val="32"/>
          <w:szCs w:val="32"/>
          <w14:textFill>
            <w14:solidFill>
              <w14:schemeClr w14:val="tx1"/>
            </w14:solidFill>
          </w14:textFill>
        </w:rPr>
        <w:t>　再生资源回收经营者在经营活动中发现有公安机关通报寻查的赃物或有赃物嫌疑的物品时，应当立即报告公安机关。</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公安机关对再生资源回收经营者在经营活动中发现的赃物或有赃物嫌疑的物品应当依法予以扣押，并开列扣押清单。有赃物嫌疑的物品经查明不是赃物的，应当依法及时退还；经查明确属赃物的，依照国家有关规定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仿宋_GB2312" w:eastAsia="仿宋_GB2312" w:cs="Times New Roman"/>
          <w:color w:val="000000" w:themeColor="text1"/>
          <w:kern w:val="2"/>
          <w:sz w:val="32"/>
          <w:szCs w:val="32"/>
          <w14:textFill>
            <w14:solidFill>
              <w14:schemeClr w14:val="tx1"/>
            </w14:solidFill>
          </w14:textFill>
        </w:rPr>
        <w:t>　再生资源的收集、储存、运输、处理等全过程应当遵守相关国家污染防治标准、技术政策和技术规范。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仿宋_GB2312" w:eastAsia="仿宋_GB2312" w:cs="Times New Roman"/>
          <w:color w:val="000000" w:themeColor="text1"/>
          <w:kern w:val="2"/>
          <w:sz w:val="32"/>
          <w:szCs w:val="32"/>
          <w14:textFill>
            <w14:solidFill>
              <w14:schemeClr w14:val="tx1"/>
            </w14:solidFill>
          </w14:textFill>
        </w:rPr>
        <w:t>　再生资源回收经营者从事旧货收购、销售、储存、运输等经营活动应当遵守旧货流通的有关规定。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仿宋_GB2312" w:eastAsia="仿宋_GB2312" w:cs="Times New Roman"/>
          <w:color w:val="000000" w:themeColor="text1"/>
          <w:kern w:val="2"/>
          <w:sz w:val="32"/>
          <w:szCs w:val="32"/>
          <w14:textFill>
            <w14:solidFill>
              <w14:schemeClr w14:val="tx1"/>
            </w14:solidFill>
          </w14:textFill>
        </w:rPr>
        <w:t>　再生资源回收可以采取上门回收、流动回收、固定地点回收等方式。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再生资源回收经营者可以通过电话、互联网等形式与居民、企业建立信息互动，实现便民、快捷的回收服务。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hint="eastAsia" w:ascii="Times New Roman" w:hAnsi="黑体"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第三章　监督管理</w:t>
      </w:r>
    </w:p>
    <w:p>
      <w:pPr>
        <w:pStyle w:val="6"/>
        <w:shd w:val="clear" w:color="auto" w:fill="FFFFFF"/>
        <w:spacing w:before="0" w:beforeAutospacing="0" w:after="0" w:afterAutospacing="0" w:line="594" w:lineRule="exact"/>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第十四条</w:t>
      </w:r>
      <w:r>
        <w:rPr>
          <w:rFonts w:ascii="Times New Roman" w:hAnsi="仿宋_GB2312" w:eastAsia="仿宋_GB2312" w:cs="Times New Roman"/>
          <w:color w:val="000000" w:themeColor="text1"/>
          <w:kern w:val="2"/>
          <w:sz w:val="32"/>
          <w:szCs w:val="32"/>
          <w14:textFill>
            <w14:solidFill>
              <w14:schemeClr w14:val="tx1"/>
            </w14:solidFill>
          </w14:textFill>
        </w:rPr>
        <w:t>　商务主管部门是再生资源回收的行业主管部门，负责制定和实施再生资源回收产业政策、回收标准和回收行业发展规划。</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发展改革部门负责研究提出促进再生资源发展的政策，组织实施再生资源利用新技术、新设备的推广应用和产业化示范。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公安机关负责再生资源回收的治安管理。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工商行政管理部门负责再生资源回收经营者的登记管理和再生资源交易市场内的监督管理。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环境保护行政管理部门负责对再生资源回收过程中环境污染的防治工作实施监督管理，依法对违反污染环境防治法律法规的行为进行处罚。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建设、城乡规划行政管理部门负责将再生资源回收网点纳入城市规划，依法对违反城市规划、建设管理有关法律法规的行为进行查处和清理整顿。</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仿宋_GB2312" w:eastAsia="仿宋_GB2312" w:cs="Times New Roman"/>
          <w:color w:val="000000" w:themeColor="text1"/>
          <w:kern w:val="2"/>
          <w:sz w:val="32"/>
          <w:szCs w:val="32"/>
          <w14:textFill>
            <w14:solidFill>
              <w14:schemeClr w14:val="tx1"/>
            </w14:solidFill>
          </w14:textFill>
        </w:rPr>
        <w:t>　商务部负责制定和实施全国范围内再生资源回收的产业政策、回收标准和回收行业发展规划。</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县级以上商务主管部门负责制定和实施本行政区域内具体的行业发展规划和其他具体措施。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县级以上商务主管部门应当设置负责管理再生资源回收行业的机构，并配备相应人员。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第十六条</w:t>
      </w:r>
      <w:r>
        <w:rPr>
          <w:rFonts w:ascii="Times New Roman" w:hAnsi="仿宋_GB2312" w:eastAsia="仿宋_GB2312" w:cs="Times New Roman"/>
          <w:color w:val="000000" w:themeColor="text1"/>
          <w:kern w:val="2"/>
          <w:sz w:val="32"/>
          <w:szCs w:val="32"/>
          <w14:textFill>
            <w14:solidFill>
              <w14:schemeClr w14:val="tx1"/>
            </w14:solidFill>
          </w14:textFill>
        </w:rPr>
        <w:t>　县级以上城市商务主管部门应当会同发展改革（经贸）、公安、工商、环保、建设、城乡规划等行政管理部门，按照统筹规划、合理布局的原则，根据本地经济发展水平、人口密度、环境和资源等具体情况，制定再生资源回收网点规划。</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再生资源回收网点包括社区回收、中转、集散、加工处理等回收过程中再生资源停留的各类场所。</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仿宋_GB2312" w:eastAsia="仿宋_GB2312" w:cs="Times New Roman"/>
          <w:color w:val="000000" w:themeColor="text1"/>
          <w:kern w:val="2"/>
          <w:sz w:val="32"/>
          <w:szCs w:val="32"/>
          <w14:textFill>
            <w14:solidFill>
              <w14:schemeClr w14:val="tx1"/>
            </w14:solidFill>
          </w14:textFill>
        </w:rPr>
        <w:t>　跨行政区域转移再生资源进行储存、处置的，应当依照《中华人民共和国固体废物污染环境防治法》第二十三条的规定办理行政许可。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仿宋_GB2312" w:eastAsia="仿宋_GB2312" w:cs="Times New Roman"/>
          <w:color w:val="000000" w:themeColor="text1"/>
          <w:kern w:val="2"/>
          <w:sz w:val="32"/>
          <w:szCs w:val="32"/>
          <w14:textFill>
            <w14:solidFill>
              <w14:schemeClr w14:val="tx1"/>
            </w14:solidFill>
          </w14:textFill>
        </w:rPr>
        <w:t>　再生资源回收行业协会是行业自律性组织，履行如下职责：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（一）反映企业的建议和要求，维护行业利益；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（二）制定并监督执行行业自律性规范；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（三）经法律法规授权或主管部门委托，进行行业统计、行业调查，发布行业信息；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（四）配合行业主管部门研究制定行业发展规划、产业政策和回收标准。</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再生资源回收行业协会应当接受行业主管部门的业务指导。</w:t>
      </w:r>
    </w:p>
    <w:p>
      <w:pPr>
        <w:pStyle w:val="6"/>
        <w:shd w:val="clear" w:color="auto" w:fill="FFFFFF"/>
        <w:spacing w:before="0" w:beforeAutospacing="0" w:after="0" w:afterAutospacing="0" w:line="594" w:lineRule="exact"/>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第四章　罚</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center"/>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第十九条</w:t>
      </w:r>
      <w:r>
        <w:rPr>
          <w:rFonts w:ascii="Times New Roman" w:hAnsi="仿宋_GB2312" w:eastAsia="仿宋_GB2312" w:cs="Times New Roman"/>
          <w:color w:val="000000" w:themeColor="text1"/>
          <w:kern w:val="2"/>
          <w:sz w:val="32"/>
          <w:szCs w:val="32"/>
          <w14:textFill>
            <w14:solidFill>
              <w14:schemeClr w14:val="tx1"/>
            </w14:solidFill>
          </w14:textFill>
        </w:rPr>
        <w:t>　未依法取得营业执照而擅自从事再生资源回收经营业务的，由工商行政管理部门依照《无证无照经营查处办法》予以处罚。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凡超出工商行政管理部门核准的经营范围的，由工商行政管理部门按照有关规定予以处罚。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第二十条　</w:t>
      </w:r>
      <w:r>
        <w:rPr>
          <w:rFonts w:ascii="Times New Roman" w:hAnsi="仿宋_GB2312" w:eastAsia="仿宋_GB2312" w:cs="Times New Roman"/>
          <w:color w:val="000000" w:themeColor="text1"/>
          <w:kern w:val="2"/>
          <w:sz w:val="32"/>
          <w:szCs w:val="32"/>
          <w14:textFill>
            <w14:solidFill>
              <w14:schemeClr w14:val="tx1"/>
            </w14:solidFill>
          </w14:textFill>
        </w:rPr>
        <w:t>违反本办法第八条规定，由县级人民政府公安机关给予警告，责令其限期改正；逾期拒不改正的，可视情节轻重，对再生资源回收经营者处</w:t>
      </w:r>
      <w:r>
        <w:rPr>
          <w:rFonts w:ascii="Times New Roman" w:hAnsi="Times New Roman" w:eastAsia="仿宋_GB2312" w:cs="Times New Roman"/>
          <w:color w:val="000000" w:themeColor="text1"/>
          <w:kern w:val="2"/>
          <w:sz w:val="32"/>
          <w:szCs w:val="32"/>
          <w14:textFill>
            <w14:solidFill>
              <w14:schemeClr w14:val="tx1"/>
            </w14:solidFill>
          </w14:textFill>
        </w:rPr>
        <w:t>500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2000</w:t>
      </w:r>
      <w:r>
        <w:rPr>
          <w:rFonts w:ascii="Times New Roman" w:hAnsi="仿宋_GB2312" w:eastAsia="仿宋_GB2312" w:cs="Times New Roman"/>
          <w:color w:val="000000" w:themeColor="text1"/>
          <w:kern w:val="2"/>
          <w:sz w:val="32"/>
          <w:szCs w:val="32"/>
          <w14:textFill>
            <w14:solidFill>
              <w14:schemeClr w14:val="tx1"/>
            </w14:solidFill>
          </w14:textFill>
        </w:rPr>
        <w:t>元以下罚款，并可向社会公告。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第二十一条　</w:t>
      </w:r>
      <w:r>
        <w:rPr>
          <w:rFonts w:ascii="Times New Roman" w:hAnsi="仿宋_GB2312" w:eastAsia="仿宋_GB2312" w:cs="Times New Roman"/>
          <w:color w:val="000000" w:themeColor="text1"/>
          <w:kern w:val="2"/>
          <w:sz w:val="32"/>
          <w:szCs w:val="32"/>
          <w14:textFill>
            <w14:solidFill>
              <w14:schemeClr w14:val="tx1"/>
            </w14:solidFill>
          </w14:textFill>
        </w:rPr>
        <w:t>再生资源回收企业违反本办法第十条第一、二款规定，收购生产性废旧金属未如实进行登记的，由公安机关依据《废旧金属收购业治安管理办法》的有关规定予以处罚。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第二十二条</w:t>
      </w:r>
      <w:r>
        <w:rPr>
          <w:rFonts w:ascii="Times New Roman" w:hAnsi="仿宋_GB2312" w:eastAsia="仿宋_GB2312" w:cs="Times New Roman"/>
          <w:color w:val="000000" w:themeColor="text1"/>
          <w:kern w:val="2"/>
          <w:sz w:val="32"/>
          <w:szCs w:val="32"/>
          <w14:textFill>
            <w14:solidFill>
              <w14:schemeClr w14:val="tx1"/>
            </w14:solidFill>
          </w14:textFill>
        </w:rPr>
        <w:t>　违反本办法第十条第三款规定的，由公安机关责令改正，并处</w:t>
      </w:r>
      <w:r>
        <w:rPr>
          <w:rFonts w:ascii="Times New Roman" w:hAnsi="Times New Roman" w:eastAsia="仿宋_GB2312" w:cs="Times New Roman"/>
          <w:color w:val="000000" w:themeColor="text1"/>
          <w:kern w:val="2"/>
          <w:sz w:val="32"/>
          <w:szCs w:val="32"/>
          <w14:textFill>
            <w14:solidFill>
              <w14:schemeClr w14:val="tx1"/>
            </w14:solidFill>
          </w14:textFill>
        </w:rPr>
        <w:t>500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1000</w:t>
      </w:r>
      <w:r>
        <w:rPr>
          <w:rFonts w:ascii="Times New Roman" w:hAnsi="仿宋_GB2312" w:eastAsia="仿宋_GB2312" w:cs="Times New Roman"/>
          <w:color w:val="000000" w:themeColor="text1"/>
          <w:kern w:val="2"/>
          <w:sz w:val="32"/>
          <w:szCs w:val="32"/>
          <w14:textFill>
            <w14:solidFill>
              <w14:schemeClr w14:val="tx1"/>
            </w14:solidFill>
          </w14:textFill>
        </w:rPr>
        <w:t>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第二十三条　</w:t>
      </w:r>
      <w:r>
        <w:rPr>
          <w:rFonts w:ascii="Times New Roman" w:hAnsi="仿宋_GB2312" w:eastAsia="仿宋_GB2312" w:cs="Times New Roman"/>
          <w:color w:val="000000" w:themeColor="text1"/>
          <w:kern w:val="2"/>
          <w:sz w:val="32"/>
          <w:szCs w:val="32"/>
          <w14:textFill>
            <w14:solidFill>
              <w14:schemeClr w14:val="tx1"/>
            </w14:solidFill>
          </w14:textFill>
        </w:rPr>
        <w:t>违反本办法第十一条规定，发现赃物或有赃物嫌疑的物品而未向公安机关报告的，由公安机关给予警告，处</w:t>
      </w:r>
      <w:r>
        <w:rPr>
          <w:rFonts w:ascii="Times New Roman" w:hAnsi="Times New Roman" w:eastAsia="仿宋_GB2312" w:cs="Times New Roman"/>
          <w:color w:val="000000" w:themeColor="text1"/>
          <w:kern w:val="2"/>
          <w:sz w:val="32"/>
          <w:szCs w:val="32"/>
          <w14:textFill>
            <w14:solidFill>
              <w14:schemeClr w14:val="tx1"/>
            </w14:solidFill>
          </w14:textFill>
        </w:rPr>
        <w:t>500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1000</w:t>
      </w:r>
      <w:r>
        <w:rPr>
          <w:rFonts w:ascii="Times New Roman" w:hAnsi="仿宋_GB2312" w:eastAsia="仿宋_GB2312" w:cs="Times New Roman"/>
          <w:color w:val="000000" w:themeColor="text1"/>
          <w:kern w:val="2"/>
          <w:sz w:val="32"/>
          <w:szCs w:val="32"/>
          <w14:textFill>
            <w14:solidFill>
              <w14:schemeClr w14:val="tx1"/>
            </w14:solidFill>
          </w14:textFill>
        </w:rPr>
        <w:t>元以下罚款；造成严重后果或屡教不改的，处以</w:t>
      </w:r>
      <w:r>
        <w:rPr>
          <w:rFonts w:ascii="Times New Roman" w:hAnsi="Times New Roman" w:eastAsia="仿宋_GB2312" w:cs="Times New Roman"/>
          <w:color w:val="000000" w:themeColor="text1"/>
          <w:kern w:val="2"/>
          <w:sz w:val="32"/>
          <w:szCs w:val="32"/>
          <w14:textFill>
            <w14:solidFill>
              <w14:schemeClr w14:val="tx1"/>
            </w14:solidFill>
          </w14:textFill>
        </w:rPr>
        <w:t>1000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5000</w:t>
      </w:r>
      <w:r>
        <w:rPr>
          <w:rFonts w:ascii="Times New Roman" w:hAnsi="仿宋_GB2312" w:eastAsia="仿宋_GB2312" w:cs="Times New Roman"/>
          <w:color w:val="000000" w:themeColor="text1"/>
          <w:kern w:val="2"/>
          <w:sz w:val="32"/>
          <w:szCs w:val="32"/>
          <w14:textFill>
            <w14:solidFill>
              <w14:schemeClr w14:val="tx1"/>
            </w14:solidFill>
          </w14:textFill>
        </w:rPr>
        <w:t>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第二十四条　</w:t>
      </w:r>
      <w:r>
        <w:rPr>
          <w:rFonts w:ascii="Times New Roman" w:hAnsi="仿宋_GB2312" w:eastAsia="仿宋_GB2312" w:cs="Times New Roman"/>
          <w:color w:val="000000" w:themeColor="text1"/>
          <w:kern w:val="2"/>
          <w:sz w:val="32"/>
          <w:szCs w:val="32"/>
          <w14:textFill>
            <w14:solidFill>
              <w14:schemeClr w14:val="tx1"/>
            </w14:solidFill>
          </w14:textFill>
        </w:rPr>
        <w:t>有关行政管理部门工作人员严重失职、滥用职权、徇私舞弊、收受贿赂，侵害再生资源回收经营者合法权益的，有关主管部门应当视情节给予相应的行政处分；构成犯罪的，依法追究刑事责任。</w:t>
      </w:r>
    </w:p>
    <w:p>
      <w:pPr>
        <w:pStyle w:val="6"/>
        <w:shd w:val="clear" w:color="auto" w:fill="FFFFFF"/>
        <w:spacing w:before="0" w:beforeAutospacing="0" w:after="0" w:afterAutospacing="0" w:line="594" w:lineRule="exact"/>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hint="eastAsia" w:ascii="Times New Roman" w:hAnsi="黑体" w:eastAsia="黑体" w:cs="Times New Roman"/>
          <w:color w:val="000000" w:themeColor="text1"/>
          <w:kern w:val="2"/>
          <w:sz w:val="32"/>
          <w:szCs w:val="32"/>
          <w14:textFill>
            <w14:solidFill>
              <w14:schemeClr w14:val="tx1"/>
            </w14:solidFill>
          </w14:textFill>
        </w:rPr>
      </w:pPr>
      <w:bookmarkStart w:id="0" w:name="_GoBack"/>
      <w:r>
        <w:rPr>
          <w:rFonts w:ascii="Times New Roman" w:hAnsi="黑体" w:eastAsia="黑体" w:cs="Times New Roman"/>
          <w:color w:val="000000" w:themeColor="text1"/>
          <w:kern w:val="2"/>
          <w:sz w:val="32"/>
          <w:szCs w:val="32"/>
          <w14:textFill>
            <w14:solidFill>
              <w14:schemeClr w14:val="tx1"/>
            </w14:solidFill>
          </w14:textFill>
        </w:rPr>
        <w:t>第五章</w:t>
      </w:r>
      <w:bookmarkEnd w:id="0"/>
      <w:r>
        <w:rPr>
          <w:rFonts w:ascii="Times New Roman" w:hAnsi="黑体" w:eastAsia="黑体" w:cs="Times New Roman"/>
          <w:color w:val="000000" w:themeColor="text1"/>
          <w:kern w:val="2"/>
          <w:sz w:val="32"/>
          <w:szCs w:val="32"/>
          <w14:textFill>
            <w14:solidFill>
              <w14:schemeClr w14:val="tx1"/>
            </w14:solidFill>
          </w14:textFill>
        </w:rPr>
        <w:t>　附</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center"/>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第二十五条</w:t>
      </w:r>
      <w:r>
        <w:rPr>
          <w:rFonts w:ascii="Times New Roman" w:hAnsi="仿宋_GB2312" w:eastAsia="仿宋_GB2312" w:cs="Times New Roman"/>
          <w:color w:val="000000" w:themeColor="text1"/>
          <w:kern w:val="2"/>
          <w:sz w:val="32"/>
          <w:szCs w:val="32"/>
          <w14:textFill>
            <w14:solidFill>
              <w14:schemeClr w14:val="tx1"/>
            </w14:solidFill>
          </w14:textFill>
        </w:rPr>
        <w:t>　本办法所称</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生产性废旧金属</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，是指用于建筑、铁路、通讯、电力、水利、油田、市政设施及其他生产领域，已失去原有全部或部分使用价值的金属材料和金属制品。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第二十六条　</w:t>
      </w:r>
      <w:r>
        <w:rPr>
          <w:rFonts w:ascii="Times New Roman" w:hAnsi="仿宋_GB2312" w:eastAsia="仿宋_GB2312" w:cs="Times New Roman"/>
          <w:color w:val="000000" w:themeColor="text1"/>
          <w:kern w:val="2"/>
          <w:sz w:val="32"/>
          <w:szCs w:val="32"/>
          <w14:textFill>
            <w14:solidFill>
              <w14:schemeClr w14:val="tx1"/>
            </w14:solidFill>
          </w14:textFill>
        </w:rPr>
        <w:t>本办法由商务部、发展改革委、公安部、市场监管总局、生态环境部、住房和城乡建设部负责解释。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各省、自治区、直辖市商务、发展改革（经贸）、公安、工商、环保、建设、城乡规划主管部门可依据本办法，根据当地经济发展客观实际，制定实施细则。</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第二十七条</w:t>
      </w:r>
      <w:r>
        <w:rPr>
          <w:rFonts w:ascii="Times New Roman" w:hAnsi="仿宋_GB2312" w:eastAsia="仿宋_GB2312" w:cs="Times New Roman"/>
          <w:color w:val="000000" w:themeColor="text1"/>
          <w:kern w:val="2"/>
          <w:sz w:val="32"/>
          <w:szCs w:val="32"/>
          <w14:textFill>
            <w14:solidFill>
              <w14:schemeClr w14:val="tx1"/>
            </w14:solidFill>
          </w14:textFill>
        </w:rPr>
        <w:t>　本办法自</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hint="eastAsia" w:ascii="Times New Roman" w:hAnsi="Times New Roman" w:eastAsia="仿宋_GB2312" w:cs="Times New Roman"/>
          <w:color w:val="000000" w:themeColor="text1"/>
          <w:kern w:val="2"/>
          <w:sz w:val="32"/>
          <w:szCs w:val="32"/>
          <w:lang w:val="en-US" w:eastAsia="zh-CN"/>
          <w14:textFill>
            <w14:solidFill>
              <w14:schemeClr w14:val="tx1"/>
            </w14:solidFill>
          </w14:textFill>
        </w:rPr>
        <w:t>19</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hint="eastAsia" w:ascii="Times New Roman" w:hAnsi="Times New Roman" w:eastAsia="仿宋_GB2312" w:cs="Times New Roman"/>
          <w:color w:val="000000" w:themeColor="text1"/>
          <w:kern w:val="2"/>
          <w:sz w:val="32"/>
          <w:szCs w:val="32"/>
          <w:lang w:val="en-US" w:eastAsia="zh-CN"/>
          <w14:textFill>
            <w14:solidFill>
              <w14:schemeClr w14:val="tx1"/>
            </w14:solidFill>
          </w14:textFill>
        </w:rPr>
        <w:t>11</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hint="eastAsia" w:ascii="Times New Roman" w:hAnsi="Times New Roman" w:eastAsia="仿宋_GB2312" w:cs="Times New Roman"/>
          <w:color w:val="000000" w:themeColor="text1"/>
          <w:kern w:val="2"/>
          <w:sz w:val="32"/>
          <w:szCs w:val="32"/>
          <w:lang w:val="en-US" w:eastAsia="zh-CN"/>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日起施行</w:t>
      </w:r>
      <w:r>
        <w:rPr>
          <w:rFonts w:ascii="Times New Roman" w:cs="Times New Roman"/>
          <w:color w:val="000000" w:themeColor="text1"/>
          <w14:textFill>
            <w14:solidFill>
              <w14:schemeClr w14:val="tx1"/>
            </w14:solidFill>
          </w14:textFill>
        </w:rPr>
        <w:t>。</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4636C9"/>
    <w:rsid w:val="0EC76A20"/>
    <w:rsid w:val="0EF67BCC"/>
    <w:rsid w:val="0F1674DD"/>
    <w:rsid w:val="102B16F6"/>
    <w:rsid w:val="11072A94"/>
    <w:rsid w:val="122E6528"/>
    <w:rsid w:val="13102CD3"/>
    <w:rsid w:val="13423986"/>
    <w:rsid w:val="13D333F6"/>
    <w:rsid w:val="141F082C"/>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FC6C14"/>
    <w:rsid w:val="23206139"/>
    <w:rsid w:val="23470DD3"/>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06773C"/>
    <w:rsid w:val="2FE054D9"/>
    <w:rsid w:val="303B7C0D"/>
    <w:rsid w:val="30964343"/>
    <w:rsid w:val="30A97689"/>
    <w:rsid w:val="310D3357"/>
    <w:rsid w:val="31A15F24"/>
    <w:rsid w:val="31DC0F7C"/>
    <w:rsid w:val="329362BA"/>
    <w:rsid w:val="33A95A17"/>
    <w:rsid w:val="343668E0"/>
    <w:rsid w:val="34C61E47"/>
    <w:rsid w:val="353109EB"/>
    <w:rsid w:val="374768C0"/>
    <w:rsid w:val="37EE32D6"/>
    <w:rsid w:val="3868493C"/>
    <w:rsid w:val="395347B5"/>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833B83"/>
    <w:rsid w:val="44A86E54"/>
    <w:rsid w:val="45BF7A6B"/>
    <w:rsid w:val="46C25D0A"/>
    <w:rsid w:val="477D3B0A"/>
    <w:rsid w:val="4848504C"/>
    <w:rsid w:val="4882778C"/>
    <w:rsid w:val="48AA5EB9"/>
    <w:rsid w:val="492B6619"/>
    <w:rsid w:val="49D0319A"/>
    <w:rsid w:val="49D91622"/>
    <w:rsid w:val="4AC64D68"/>
    <w:rsid w:val="4B1C2BC5"/>
    <w:rsid w:val="4B3A746D"/>
    <w:rsid w:val="4B85080B"/>
    <w:rsid w:val="4BC77339"/>
    <w:rsid w:val="4C3337D0"/>
    <w:rsid w:val="4C4B5EFB"/>
    <w:rsid w:val="4C7C7EDA"/>
    <w:rsid w:val="4C9236C5"/>
    <w:rsid w:val="4CD26EC1"/>
    <w:rsid w:val="4CE332A2"/>
    <w:rsid w:val="4D1912C4"/>
    <w:rsid w:val="4D31441A"/>
    <w:rsid w:val="4D620DE4"/>
    <w:rsid w:val="4DDC4386"/>
    <w:rsid w:val="4ED00D27"/>
    <w:rsid w:val="4F294A17"/>
    <w:rsid w:val="4F9A2FC4"/>
    <w:rsid w:val="4FAD4AA3"/>
    <w:rsid w:val="4FFF15A9"/>
    <w:rsid w:val="505C172E"/>
    <w:rsid w:val="506E68C1"/>
    <w:rsid w:val="507C2595"/>
    <w:rsid w:val="509212F9"/>
    <w:rsid w:val="5110480D"/>
    <w:rsid w:val="512207F0"/>
    <w:rsid w:val="51CA1CE5"/>
    <w:rsid w:val="528F7C18"/>
    <w:rsid w:val="52F46F0B"/>
    <w:rsid w:val="536C71BE"/>
    <w:rsid w:val="538E3AFD"/>
    <w:rsid w:val="53D8014D"/>
    <w:rsid w:val="54435882"/>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9C21FF3"/>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2860</Words>
  <Characters>2904</Characters>
  <Lines>63</Lines>
  <Paragraphs>17</Paragraphs>
  <TotalTime>1</TotalTime>
  <ScaleCrop>false</ScaleCrop>
  <LinksUpToDate>false</LinksUpToDate>
  <CharactersWithSpaces>3123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2022-09-17T14:37:10Z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AA2F2C66899F409E8F48497F7FB58E07</vt:lpwstr>
  </property>
</Properties>
</file>