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方正小标宋简体"/>
          <w:bCs/>
          <w:color w:val="000000" w:themeColor="text1"/>
          <w:sz w:val="44"/>
          <w:szCs w:val="44"/>
          <w14:textFill>
            <w14:solidFill>
              <w14:schemeClr w14:val="tx1"/>
            </w14:solidFill>
          </w14:textFill>
        </w:rPr>
      </w:pPr>
      <w:r>
        <w:rPr>
          <w:rFonts w:hint="eastAsia" w:ascii="Times New Roman" w:hAnsi="Times New Roman" w:eastAsia="方正小标宋简体"/>
          <w:bCs/>
          <w:color w:val="000000" w:themeColor="text1"/>
          <w:sz w:val="44"/>
          <w:szCs w:val="44"/>
          <w14:textFill>
            <w14:solidFill>
              <w14:schemeClr w14:val="tx1"/>
            </w14:solidFill>
          </w14:textFill>
        </w:rPr>
        <w:t>医疗器械分类规则</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（2015年7月14日国家食品药品监督管理总局令第15号公布）</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第一条</w:t>
      </w:r>
      <w:r>
        <w:rPr>
          <w:rFonts w:ascii="Times New Roman" w:hAnsi="Times New Roman" w:eastAsia="仿宋_GB2312"/>
          <w:color w:val="000000" w:themeColor="text1"/>
          <w:sz w:val="32"/>
          <w:szCs w:val="32"/>
          <w14:textFill>
            <w14:solidFill>
              <w14:schemeClr w14:val="tx1"/>
            </w14:solidFill>
          </w14:textFill>
        </w:rPr>
        <w:t>　为规范医疗器械分类，根据《医疗器械监督管理条例》，制定本规则。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第二条　</w:t>
      </w:r>
      <w:r>
        <w:rPr>
          <w:rFonts w:ascii="Times New Roman" w:hAnsi="Times New Roman" w:eastAsia="仿宋_GB2312"/>
          <w:color w:val="000000" w:themeColor="text1"/>
          <w:sz w:val="32"/>
          <w:szCs w:val="32"/>
          <w14:textFill>
            <w14:solidFill>
              <w14:schemeClr w14:val="tx1"/>
            </w14:solidFill>
          </w14:textFill>
        </w:rPr>
        <w:t>本规则用于指导制定医疗器械分类目录和确定新的医疗器械的管理类别。</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第三条</w:t>
      </w:r>
      <w:r>
        <w:rPr>
          <w:rFonts w:ascii="Times New Roman" w:hAnsi="Times New Roman" w:eastAsia="仿宋_GB2312"/>
          <w:color w:val="000000" w:themeColor="text1"/>
          <w:sz w:val="32"/>
          <w:szCs w:val="32"/>
          <w14:textFill>
            <w14:solidFill>
              <w14:schemeClr w14:val="tx1"/>
            </w14:solidFill>
          </w14:textFill>
        </w:rPr>
        <w:t>　本规则有关用语的含义是：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（一）预期目的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指产品说明书、标签或者宣传资料载明的，使用医疗器械应当取得的作用。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（二）无源医疗器械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不依靠电能或者其他能源，但是可以通过由人体或者重力产生的能量，发挥其功能的医疗器械。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（三）有源医疗器械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任何依靠电能或者其他能源，而不是直接由人体或者重力产生的能量，发挥其功能的医疗器械。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（四）侵入器械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借助手术全部或者部分通过体表侵入人体，接触体内组织、血液循环系统、中枢神经系统等部位的医疗器械，包括介入手术中使用的器材、一次性使用无菌手术器械和暂时或短期留在人体内的器械等。本规则中的侵入器械不包括重复使用手术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（五）重复使用手术器械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用于手术中进行切、割、钻、锯、抓、刮、钳、抽、夹等过程，不连接任何有源医疗器械，通过一定的处理可以重新使用的无源医疗器械。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（六）植入器械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借助手术全部或者部分进入人体内或腔道（口）中，或者用于替代人体上皮表面或眼表面，并且在手术过程结束后留在人体内30日（含）以上或者被人体吸收的医疗器械。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（七）接触人体器械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直接或间接接触患者或者能够进入患者体内的医疗器械。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（八）使用时限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1.连续使用时间：医疗器械按预期目的、不间断的实际作用时间；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2.暂时：医疗器械预期的连续使用时间在24小时以内；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3.短期：医疗器械预期的连续使用时间在24小时（含）以上、30日以内；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4.长期：医疗器械预期的连续使用时间在30日（含）以上。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（九）皮肤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未受损皮肤表面。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（十）腔道（口）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口腔、鼻腔、食道、外耳道、直肠、阴道、尿道等人体自然腔道和永久性人造开口。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（十一）创伤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各种致伤因素作用于人体所造成的组织结构完整性破坏或者功能障碍。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（十二）组织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人体体内组织，包括骨、牙髓或者牙本质，不包括血液循环系统和中枢神经系统。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（十三）血液循环系统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血管（毛细血管除外）和心脏。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（十四）中枢神经系统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脑和脊髓。</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（十五）独立软件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具有一个或者多个医疗目的，无需医疗器械硬件即可完成自身预期目的，运行于通用计算平台的软件。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（十六）具有计量测试功能的医疗器械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用于测定生理、病理、解剖参数，或者定量测定进出人体的能量或物质的医疗器械，其测量结果需要精确定量，并且该结果的准确性会对患者的健康和安全产生明显影响。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（十七）慢性创面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各种原因形成的长期不愈合创面，如静脉性溃疡、动脉性溃疡、糖尿病性溃疡、创伤性溃疡、压力性溃疡等。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第四条</w:t>
      </w:r>
      <w:r>
        <w:rPr>
          <w:rFonts w:ascii="Times New Roman" w:hAnsi="Times New Roman" w:eastAsia="仿宋_GB2312"/>
          <w:color w:val="000000" w:themeColor="text1"/>
          <w:sz w:val="32"/>
          <w:szCs w:val="32"/>
          <w14:textFill>
            <w14:solidFill>
              <w14:schemeClr w14:val="tx1"/>
            </w14:solidFill>
          </w14:textFill>
        </w:rPr>
        <w:t>　医疗器械按照风险程度由低到高，管理类别依次分为第一类、第二类和第三类。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医疗器械风险程度，应当根据医疗器械的预期目的，通过结构特征、使用形式、使用状态、是否接触人体等因素综合判定。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第五条　</w:t>
      </w:r>
      <w:r>
        <w:rPr>
          <w:rFonts w:ascii="Times New Roman" w:hAnsi="Times New Roman" w:eastAsia="仿宋_GB2312"/>
          <w:color w:val="000000" w:themeColor="text1"/>
          <w:sz w:val="32"/>
          <w:szCs w:val="32"/>
          <w14:textFill>
            <w14:solidFill>
              <w14:schemeClr w14:val="tx1"/>
            </w14:solidFill>
          </w14:textFill>
        </w:rPr>
        <w:t>依据影响医疗器械风险程度的因素，医疗器械可以分为以下几种情形：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（一）根据结构特征的不同，分为无源医疗器械和有源医疗器械。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（二）根据是否接触人体，分为接触人体器械和非接触人体器械。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（三）根据不同的结构特征和是否接触人体，医疗器械的使用形式包括：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无源接触人体器械：液体输送器械、改变血液体液器械、医用敷料、侵入器械、重复使用手术器械、植入器械、避孕和计划生育器械、其他无源接触人体器械。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无源非接触人体器械：护理器械、医疗器械清洗消毒器械、其他无源非接触人体器械。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有源接触人体器械：能量治疗器械、诊断监护器械、液体输送器械、电离辐射器械、植入器械、其他有源接触人体器械。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有源非接触人体器械：临床检验仪器设备、独立软件、医疗器械消毒灭菌设备、其他有源非接触人体器械。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（四）根据不同的结构特征、是否接触人体以及使用形式，医疗器械的使用状态或者其产生的影响包括以下情形：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无源接触人体器械：根据使用时限分为暂时使用、短期使用、长期使用；接触人体的部位分为皮肤或腔道（口）、创伤或组织、血液循环系统或中枢神经系统。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无源非接触人体器械：根据对医疗效果的影响程度分为基本不影响、轻微影响、重要影响。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有源接触人体器械：根据失控后可能造成的损伤程度分为轻微损伤、中度损伤、严重损伤。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有源非接触人体器械：根据对医疗效果的影响程度分为基本不影响、轻微影响、重要影响。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第六条　</w:t>
      </w:r>
      <w:r>
        <w:rPr>
          <w:rFonts w:ascii="Times New Roman" w:hAnsi="Times New Roman" w:eastAsia="仿宋_GB2312"/>
          <w:color w:val="000000" w:themeColor="text1"/>
          <w:sz w:val="32"/>
          <w:szCs w:val="32"/>
          <w14:textFill>
            <w14:solidFill>
              <w14:schemeClr w14:val="tx1"/>
            </w14:solidFill>
          </w14:textFill>
        </w:rPr>
        <w:t>医疗器械的分类应当根据医疗器械分类判定表（见附件）进行分类判定。有以下情形的，还应当结合下述原则进行分类：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（一）如果同一医疗器械适用两个或者两个以上的分类，应当采取其中风险程度最高的分类；由多个医疗器械组成的医疗器械包，其分类应当与包内风险程度最高的医疗器械一致。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（二）可作为附件的医疗器械，其分类应当综合考虑该附件对配套主体医疗器械安全性、有效性的影响；如果附件对配套主体医疗器械有重要影响，附件的分类应不低于配套主体医疗器械的分类。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（三）监控或者影响医疗器械主要功能的医疗器械，其分类应当与被监控、影响的医疗器械的分类一致。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（四）以医疗器械作用为主的药械组合产品，按照第三类医疗器械管理。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（五）可被人体吸收的医疗器械，按照第三类医疗器械管理。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（六）对医疗效果有重要影响的有源接触人体器械，按照第三类医疗器械管理。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（七）医用敷料如果有以下情形，按照第三类医疗器械管理，包括：预期具有防组织或器官粘连功能，作为人工皮肤，接触真皮深层或其以下组织受损的创面，用于慢性创面，或者可被人体全部或部分吸收的。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（八）以无菌形式提供的医疗器械，其分类应不低于第二类。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九）通过牵拉、撑开、扭转、压握、弯曲等作用方式，主动施加持续作用力于人体、可动态调整肢体固定位置的矫形器械（不包括仅具有固定、支撑作用的医疗器械，也不包括配合外科手术中进行临时矫形的医疗器械或者外科手术后或其他治疗中进行四肢矫形的医疗器械），其分类应不低于第二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（十）具有计量测试功能的医疗器械，其分类应不低于第二类。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（十一）如果医疗器械的预期目的是明确用于某种疾病的治疗，其分类应不低于第二类。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（十二）用于在内窥镜下完成夹取、切割组织或者取石等手术操作的无源重复使用手术器械，按照第二类医疗器械管理。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第七条　</w:t>
      </w:r>
      <w:r>
        <w:rPr>
          <w:rFonts w:ascii="Times New Roman" w:hAnsi="Times New Roman" w:eastAsia="仿宋_GB2312"/>
          <w:color w:val="000000" w:themeColor="text1"/>
          <w:sz w:val="32"/>
          <w:szCs w:val="32"/>
          <w14:textFill>
            <w14:solidFill>
              <w14:schemeClr w14:val="tx1"/>
            </w14:solidFill>
          </w14:textFill>
        </w:rPr>
        <w:t>体外诊断试剂按照有关规定进行分类。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第八条</w:t>
      </w:r>
      <w:r>
        <w:rPr>
          <w:rFonts w:ascii="Times New Roman" w:hAnsi="Times New Roman" w:eastAsia="仿宋_GB2312"/>
          <w:color w:val="000000" w:themeColor="text1"/>
          <w:sz w:val="32"/>
          <w:szCs w:val="32"/>
          <w14:textFill>
            <w14:solidFill>
              <w14:schemeClr w14:val="tx1"/>
            </w14:solidFill>
          </w14:textFill>
        </w:rPr>
        <w:t>　国家食品药品监督管理总局根据医疗器械生产、经营、使用情况，及时对医疗器械的风险变化进行分析、评价，对医疗器械分类目录进行调整。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第九条　</w:t>
      </w:r>
      <w:r>
        <w:rPr>
          <w:rFonts w:ascii="Times New Roman" w:hAnsi="Times New Roman" w:eastAsia="仿宋_GB2312"/>
          <w:color w:val="000000" w:themeColor="text1"/>
          <w:sz w:val="32"/>
          <w:szCs w:val="32"/>
          <w14:textFill>
            <w14:solidFill>
              <w14:schemeClr w14:val="tx1"/>
            </w14:solidFill>
          </w14:textFill>
        </w:rPr>
        <w:t>国家食品药品监督管理总局可以组织医疗器械分类专家委员会制定、调整医疗器械分类目录。</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第十条　</w:t>
      </w:r>
      <w:r>
        <w:rPr>
          <w:rFonts w:ascii="Times New Roman" w:hAnsi="Times New Roman" w:eastAsia="仿宋_GB2312"/>
          <w:color w:val="000000" w:themeColor="text1"/>
          <w:sz w:val="32"/>
          <w:szCs w:val="32"/>
          <w14:textFill>
            <w14:solidFill>
              <w14:schemeClr w14:val="tx1"/>
            </w14:solidFill>
          </w14:textFill>
        </w:rPr>
        <w:t>本规则自2016年1月1日起施行。2000年4月5日公布的《医疗器械分类规则》（原国家药品监督管理局令第15号）同时废止。</w:t>
      </w:r>
    </w:p>
    <w:p>
      <w:pPr>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br w:type="page"/>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left"/>
        <w:textAlignment w:val="auto"/>
        <w:rPr>
          <w:rFonts w:hint="eastAsia" w:ascii="Times New Roman" w:hAnsi="Times New Roman" w:eastAsia="黑体" w:cs="黑体"/>
          <w:color w:val="000000" w:themeColor="text1"/>
          <w:sz w:val="32"/>
          <w:szCs w:val="32"/>
          <w14:textFill>
            <w14:solidFill>
              <w14:schemeClr w14:val="tx1"/>
            </w14:solidFill>
          </w14:textFill>
        </w:rPr>
      </w:pPr>
      <w:r>
        <w:rPr>
          <w:rFonts w:hint="eastAsia" w:ascii="Times New Roman" w:hAnsi="Times New Roman" w:eastAsia="黑体" w:cs="黑体"/>
          <w:color w:val="000000" w:themeColor="text1"/>
          <w:sz w:val="32"/>
          <w:szCs w:val="32"/>
          <w14:textFill>
            <w14:solidFill>
              <w14:schemeClr w14:val="tx1"/>
            </w14:solidFill>
          </w14:textFill>
        </w:rPr>
        <w:t>附件</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医疗器械分类判定表</w:t>
      </w:r>
    </w:p>
    <w:tbl>
      <w:tblPr>
        <w:tblStyle w:val="7"/>
        <w:tblW w:w="0" w:type="auto"/>
        <w:jc w:val="center"/>
        <w:tblLayout w:type="fixed"/>
        <w:tblCellMar>
          <w:top w:w="0" w:type="dxa"/>
          <w:left w:w="108" w:type="dxa"/>
          <w:bottom w:w="0" w:type="dxa"/>
          <w:right w:w="108" w:type="dxa"/>
        </w:tblCellMar>
      </w:tblPr>
      <w:tblGrid>
        <w:gridCol w:w="464"/>
        <w:gridCol w:w="450"/>
        <w:gridCol w:w="2087"/>
        <w:gridCol w:w="845"/>
        <w:gridCol w:w="804"/>
        <w:gridCol w:w="864"/>
        <w:gridCol w:w="813"/>
        <w:gridCol w:w="796"/>
        <w:gridCol w:w="834"/>
        <w:gridCol w:w="6"/>
        <w:gridCol w:w="840"/>
        <w:gridCol w:w="735"/>
        <w:gridCol w:w="831"/>
      </w:tblGrid>
      <w:tr>
        <w:tblPrEx>
          <w:tblCellMar>
            <w:top w:w="0" w:type="dxa"/>
            <w:left w:w="108" w:type="dxa"/>
            <w:bottom w:w="0" w:type="dxa"/>
            <w:right w:w="108" w:type="dxa"/>
          </w:tblCellMar>
        </w:tblPrEx>
        <w:trPr>
          <w:trHeight w:val="666" w:hRule="atLeast"/>
          <w:jc w:val="center"/>
        </w:trPr>
        <w:tc>
          <w:tcPr>
            <w:tcW w:w="10369" w:type="dxa"/>
            <w:gridSpan w:val="13"/>
            <w:tcBorders>
              <w:top w:val="single" w:color="000000" w:sz="2" w:space="0"/>
              <w:left w:val="single" w:color="000000" w:sz="2" w:space="0"/>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接 触 人 体 器 械</w:t>
            </w:r>
          </w:p>
        </w:tc>
      </w:tr>
      <w:tr>
        <w:tblPrEx>
          <w:tblCellMar>
            <w:top w:w="0" w:type="dxa"/>
            <w:left w:w="108" w:type="dxa"/>
            <w:bottom w:w="0" w:type="dxa"/>
            <w:right w:w="108" w:type="dxa"/>
          </w:tblCellMar>
        </w:tblPrEx>
        <w:trPr>
          <w:jc w:val="center"/>
        </w:trPr>
        <w:tc>
          <w:tcPr>
            <w:tcW w:w="464" w:type="dxa"/>
            <w:vMerge w:val="restart"/>
            <w:tcBorders>
              <w:top w:val="nil"/>
              <w:left w:val="single" w:color="000000" w:sz="2" w:space="0"/>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无源医疗器械</w:t>
            </w:r>
          </w:p>
        </w:tc>
        <w:tc>
          <w:tcPr>
            <w:tcW w:w="2537" w:type="dxa"/>
            <w:gridSpan w:val="2"/>
            <w:vMerge w:val="restart"/>
            <w:tcBorders>
              <w:top w:val="single" w:color="000000" w:sz="2" w:space="0"/>
              <w:left w:val="nil"/>
              <w:bottom w:val="single" w:color="000000" w:sz="2" w:space="0"/>
              <w:right w:val="single" w:color="000000" w:sz="2" w:space="0"/>
            </w:tcBorders>
            <w:noWrap w:val="0"/>
            <w:vAlign w:val="top"/>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p>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使用状态</w:t>
            </w:r>
          </w:p>
          <w:p>
            <w:pPr>
              <w:pStyle w:val="6"/>
              <w:widowControl/>
              <w:spacing w:line="594" w:lineRule="exact"/>
              <w:ind w:firstLine="210"/>
              <w:jc w:val="center"/>
              <w:rPr>
                <w:rFonts w:ascii="Times New Roman" w:hAnsi="Times New Roman" w:eastAsia="仿宋_GB2312"/>
                <w:color w:val="000000" w:themeColor="text1"/>
                <w:sz w:val="24"/>
                <w:szCs w:val="24"/>
                <w14:textFill>
                  <w14:solidFill>
                    <w14:schemeClr w14:val="tx1"/>
                  </w14:solidFill>
                </w14:textFill>
              </w:rPr>
            </w:pPr>
          </w:p>
          <w:p>
            <w:pPr>
              <w:pStyle w:val="6"/>
              <w:widowControl/>
              <w:spacing w:line="594" w:lineRule="exact"/>
              <w:ind w:firstLine="210"/>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使用形式</w:t>
            </w:r>
          </w:p>
        </w:tc>
        <w:tc>
          <w:tcPr>
            <w:tcW w:w="251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暂时使用</w:t>
            </w:r>
          </w:p>
        </w:tc>
        <w:tc>
          <w:tcPr>
            <w:tcW w:w="244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短期使用</w:t>
            </w:r>
          </w:p>
        </w:tc>
        <w:tc>
          <w:tcPr>
            <w:tcW w:w="2412" w:type="dxa"/>
            <w:gridSpan w:val="4"/>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长期使用</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2537" w:type="dxa"/>
            <w:gridSpan w:val="2"/>
            <w:vMerge w:val="continue"/>
            <w:tcBorders>
              <w:top w:val="single" w:color="000000" w:sz="2" w:space="0"/>
              <w:left w:val="nil"/>
              <w:bottom w:val="single" w:color="000000" w:sz="2" w:space="0"/>
              <w:right w:val="single" w:color="000000" w:sz="2" w:space="0"/>
            </w:tcBorders>
            <w:noWrap w:val="0"/>
            <w:vAlign w:val="top"/>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84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皮肤</w:t>
            </w:r>
          </w:p>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/腔道</w:t>
            </w:r>
          </w:p>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（口）</w:t>
            </w:r>
          </w:p>
        </w:tc>
        <w:tc>
          <w:tcPr>
            <w:tcW w:w="80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创伤</w:t>
            </w:r>
          </w:p>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/组织</w:t>
            </w:r>
          </w:p>
        </w:tc>
        <w:tc>
          <w:tcPr>
            <w:tcW w:w="86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pacing w:val="-10"/>
                <w:sz w:val="24"/>
                <w:szCs w:val="24"/>
                <w14:textFill>
                  <w14:solidFill>
                    <w14:schemeClr w14:val="tx1"/>
                  </w14:solidFill>
                </w14:textFill>
              </w:rPr>
            </w:pPr>
            <w:r>
              <w:rPr>
                <w:rFonts w:ascii="Times New Roman" w:hAnsi="Times New Roman" w:eastAsia="仿宋_GB2312"/>
                <w:color w:val="000000" w:themeColor="text1"/>
                <w:spacing w:val="-10"/>
                <w:sz w:val="24"/>
                <w:szCs w:val="24"/>
                <w14:textFill>
                  <w14:solidFill>
                    <w14:schemeClr w14:val="tx1"/>
                  </w14:solidFill>
                </w14:textFill>
              </w:rPr>
              <w:t>血循环</w:t>
            </w:r>
          </w:p>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/中枢</w:t>
            </w:r>
          </w:p>
        </w:tc>
        <w:tc>
          <w:tcPr>
            <w:tcW w:w="81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皮肤</w:t>
            </w:r>
          </w:p>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/腔道</w:t>
            </w:r>
          </w:p>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（口）</w:t>
            </w:r>
          </w:p>
        </w:tc>
        <w:tc>
          <w:tcPr>
            <w:tcW w:w="796"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创伤</w:t>
            </w:r>
          </w:p>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/组织</w:t>
            </w:r>
          </w:p>
        </w:tc>
        <w:tc>
          <w:tcPr>
            <w:tcW w:w="83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pacing w:val="-10"/>
                <w:sz w:val="24"/>
                <w:szCs w:val="24"/>
                <w14:textFill>
                  <w14:solidFill>
                    <w14:schemeClr w14:val="tx1"/>
                  </w14:solidFill>
                </w14:textFill>
              </w:rPr>
            </w:pPr>
            <w:r>
              <w:rPr>
                <w:rFonts w:ascii="Times New Roman" w:hAnsi="Times New Roman" w:eastAsia="仿宋_GB2312"/>
                <w:color w:val="000000" w:themeColor="text1"/>
                <w:spacing w:val="-10"/>
                <w:sz w:val="24"/>
                <w:szCs w:val="24"/>
                <w14:textFill>
                  <w14:solidFill>
                    <w14:schemeClr w14:val="tx1"/>
                  </w14:solidFill>
                </w14:textFill>
              </w:rPr>
              <w:t>血循环</w:t>
            </w:r>
          </w:p>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/中枢</w:t>
            </w:r>
          </w:p>
        </w:tc>
        <w:tc>
          <w:tcPr>
            <w:tcW w:w="846" w:type="dxa"/>
            <w:gridSpan w:val="2"/>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皮肤</w:t>
            </w:r>
          </w:p>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/腔道</w:t>
            </w:r>
          </w:p>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（口）</w:t>
            </w:r>
          </w:p>
        </w:tc>
        <w:tc>
          <w:tcPr>
            <w:tcW w:w="73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创伤</w:t>
            </w:r>
          </w:p>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/组织</w:t>
            </w:r>
          </w:p>
        </w:tc>
        <w:tc>
          <w:tcPr>
            <w:tcW w:w="831"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pacing w:val="-10"/>
                <w:sz w:val="24"/>
                <w:szCs w:val="24"/>
                <w14:textFill>
                  <w14:solidFill>
                    <w14:schemeClr w14:val="tx1"/>
                  </w14:solidFill>
                </w14:textFill>
              </w:rPr>
            </w:pPr>
            <w:r>
              <w:rPr>
                <w:rFonts w:ascii="Times New Roman" w:hAnsi="Times New Roman" w:eastAsia="仿宋_GB2312"/>
                <w:color w:val="000000" w:themeColor="text1"/>
                <w:spacing w:val="-10"/>
                <w:sz w:val="24"/>
                <w:szCs w:val="24"/>
                <w14:textFill>
                  <w14:solidFill>
                    <w14:schemeClr w14:val="tx1"/>
                  </w14:solidFill>
                </w14:textFill>
              </w:rPr>
              <w:t>血循环</w:t>
            </w:r>
          </w:p>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/中枢</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1</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液体输送器械</w:t>
            </w:r>
          </w:p>
        </w:tc>
        <w:tc>
          <w:tcPr>
            <w:tcW w:w="84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0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6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1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796"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3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46" w:type="dxa"/>
            <w:gridSpan w:val="2"/>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73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31"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2</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改变血液体液器械</w:t>
            </w:r>
          </w:p>
        </w:tc>
        <w:tc>
          <w:tcPr>
            <w:tcW w:w="84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80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86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1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796"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83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46" w:type="dxa"/>
            <w:gridSpan w:val="2"/>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73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831"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3</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医用敷料</w:t>
            </w:r>
          </w:p>
        </w:tc>
        <w:tc>
          <w:tcPr>
            <w:tcW w:w="84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Ⅰ</w:t>
            </w:r>
          </w:p>
        </w:tc>
        <w:tc>
          <w:tcPr>
            <w:tcW w:w="80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6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1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Ⅰ</w:t>
            </w:r>
          </w:p>
        </w:tc>
        <w:tc>
          <w:tcPr>
            <w:tcW w:w="796"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3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46" w:type="dxa"/>
            <w:gridSpan w:val="2"/>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73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31"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4</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侵入器械</w:t>
            </w:r>
          </w:p>
        </w:tc>
        <w:tc>
          <w:tcPr>
            <w:tcW w:w="84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Ⅰ</w:t>
            </w:r>
          </w:p>
        </w:tc>
        <w:tc>
          <w:tcPr>
            <w:tcW w:w="80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6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1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796"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3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46" w:type="dxa"/>
            <w:gridSpan w:val="2"/>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73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831"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5</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重复使用手术器械</w:t>
            </w:r>
          </w:p>
        </w:tc>
        <w:tc>
          <w:tcPr>
            <w:tcW w:w="84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Ⅰ</w:t>
            </w:r>
          </w:p>
        </w:tc>
        <w:tc>
          <w:tcPr>
            <w:tcW w:w="80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Ⅰ</w:t>
            </w:r>
          </w:p>
        </w:tc>
        <w:tc>
          <w:tcPr>
            <w:tcW w:w="86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1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796"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83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846" w:type="dxa"/>
            <w:gridSpan w:val="2"/>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73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831"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6</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植入器械</w:t>
            </w:r>
          </w:p>
        </w:tc>
        <w:tc>
          <w:tcPr>
            <w:tcW w:w="84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80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86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81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796"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83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846" w:type="dxa"/>
            <w:gridSpan w:val="2"/>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73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31"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7</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pacing w:val="-10"/>
                <w:sz w:val="24"/>
                <w:szCs w:val="24"/>
                <w14:textFill>
                  <w14:solidFill>
                    <w14:schemeClr w14:val="tx1"/>
                  </w14:solidFill>
                </w14:textFill>
              </w:rPr>
            </w:pPr>
            <w:r>
              <w:rPr>
                <w:rFonts w:ascii="Times New Roman" w:hAnsi="Times New Roman" w:eastAsia="仿宋_GB2312"/>
                <w:color w:val="000000" w:themeColor="text1"/>
                <w:spacing w:val="-10"/>
                <w:sz w:val="24"/>
                <w:szCs w:val="24"/>
                <w14:textFill>
                  <w14:solidFill>
                    <w14:schemeClr w14:val="tx1"/>
                  </w14:solidFill>
                </w14:textFill>
              </w:rPr>
              <w:t>避孕和计划生育器械</w:t>
            </w:r>
          </w:p>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（不包括重复使用手术器械）</w:t>
            </w:r>
          </w:p>
        </w:tc>
        <w:tc>
          <w:tcPr>
            <w:tcW w:w="84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0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6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1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796"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3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46" w:type="dxa"/>
            <w:gridSpan w:val="2"/>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73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31"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8</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其他无源器械</w:t>
            </w:r>
          </w:p>
        </w:tc>
        <w:tc>
          <w:tcPr>
            <w:tcW w:w="84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Ⅰ</w:t>
            </w:r>
          </w:p>
        </w:tc>
        <w:tc>
          <w:tcPr>
            <w:tcW w:w="80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6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1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796"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834"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46" w:type="dxa"/>
            <w:gridSpan w:val="2"/>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735"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831"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trHeight w:val="705" w:hRule="atLeast"/>
          <w:jc w:val="center"/>
        </w:trPr>
        <w:tc>
          <w:tcPr>
            <w:tcW w:w="464" w:type="dxa"/>
            <w:vMerge w:val="restart"/>
            <w:tcBorders>
              <w:top w:val="nil"/>
              <w:left w:val="single" w:color="000000" w:sz="2" w:space="0"/>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有源医疗器械</w:t>
            </w:r>
          </w:p>
        </w:tc>
        <w:tc>
          <w:tcPr>
            <w:tcW w:w="2537" w:type="dxa"/>
            <w:gridSpan w:val="2"/>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hint="eastAsia" w:ascii="Times New Roman" w:hAnsi="Times New Roman" w:eastAsia="仿宋_GB2312"/>
                <w:color w:val="000000" w:themeColor="text1"/>
                <w:sz w:val="24"/>
                <w:szCs w:val="24"/>
                <w:lang w:val="en-US" w:eastAsia="zh-CN"/>
                <w14:textFill>
                  <w14:solidFill>
                    <w14:schemeClr w14:val="tx1"/>
                  </w14:solidFill>
                </w14:textFill>
              </w:rPr>
              <w:t xml:space="preserve">  </w:t>
            </w:r>
            <w:r>
              <w:rPr>
                <w:rFonts w:ascii="Times New Roman" w:hAnsi="Times New Roman" w:eastAsia="仿宋_GB2312"/>
                <w:color w:val="000000" w:themeColor="text1"/>
                <w:sz w:val="24"/>
                <w:szCs w:val="24"/>
                <w14:textFill>
                  <w14:solidFill>
                    <w14:schemeClr w14:val="tx1"/>
                  </w14:solidFill>
                </w14:textFill>
              </w:rPr>
              <w:t>使用状态</w:t>
            </w:r>
          </w:p>
          <w:p>
            <w:pPr>
              <w:pStyle w:val="6"/>
              <w:widowControl/>
              <w:spacing w:line="594" w:lineRule="exact"/>
              <w:ind w:firstLine="210"/>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使用形式</w:t>
            </w:r>
          </w:p>
        </w:tc>
        <w:tc>
          <w:tcPr>
            <w:tcW w:w="251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轻微损伤</w:t>
            </w:r>
          </w:p>
        </w:tc>
        <w:tc>
          <w:tcPr>
            <w:tcW w:w="2449" w:type="dxa"/>
            <w:gridSpan w:val="4"/>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中度损伤</w:t>
            </w:r>
          </w:p>
        </w:tc>
        <w:tc>
          <w:tcPr>
            <w:tcW w:w="2406"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严重损伤</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1</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能量治疗器械</w:t>
            </w:r>
          </w:p>
        </w:tc>
        <w:tc>
          <w:tcPr>
            <w:tcW w:w="251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4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12" w:type="dxa"/>
            <w:gridSpan w:val="4"/>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2</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诊断监护器械</w:t>
            </w:r>
          </w:p>
        </w:tc>
        <w:tc>
          <w:tcPr>
            <w:tcW w:w="251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4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12" w:type="dxa"/>
            <w:gridSpan w:val="4"/>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3</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液体输送器械</w:t>
            </w:r>
          </w:p>
        </w:tc>
        <w:tc>
          <w:tcPr>
            <w:tcW w:w="251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4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12" w:type="dxa"/>
            <w:gridSpan w:val="4"/>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4</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电离辐射器械</w:t>
            </w:r>
          </w:p>
        </w:tc>
        <w:tc>
          <w:tcPr>
            <w:tcW w:w="251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4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12" w:type="dxa"/>
            <w:gridSpan w:val="4"/>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 xml:space="preserve">5 </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植入器械</w:t>
            </w:r>
          </w:p>
        </w:tc>
        <w:tc>
          <w:tcPr>
            <w:tcW w:w="251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244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c>
          <w:tcPr>
            <w:tcW w:w="2412" w:type="dxa"/>
            <w:gridSpan w:val="4"/>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6</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其他有源器械</w:t>
            </w:r>
          </w:p>
        </w:tc>
        <w:tc>
          <w:tcPr>
            <w:tcW w:w="251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43" w:type="dxa"/>
            <w:gridSpan w:val="3"/>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12" w:type="dxa"/>
            <w:gridSpan w:val="4"/>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bl>
    <w:p>
      <w:pPr>
        <w:pStyle w:val="6"/>
        <w:widowControl/>
        <w:snapToGrid w:val="0"/>
        <w:spacing w:line="594" w:lineRule="exact"/>
        <w:jc w:val="left"/>
        <w:rPr>
          <w:rFonts w:ascii="Times New Roman" w:hAnsi="Times New Roman" w:eastAsia="仿宋_GB2312"/>
          <w:color w:val="000000" w:themeColor="text1"/>
          <w:sz w:val="24"/>
          <w:szCs w:val="24"/>
          <w14:textFill>
            <w14:solidFill>
              <w14:schemeClr w14:val="tx1"/>
            </w14:solidFill>
          </w14:textFill>
        </w:rPr>
      </w:pPr>
    </w:p>
    <w:tbl>
      <w:tblPr>
        <w:tblStyle w:val="7"/>
        <w:tblW w:w="0" w:type="auto"/>
        <w:jc w:val="center"/>
        <w:tblLayout w:type="fixed"/>
        <w:tblCellMar>
          <w:top w:w="0" w:type="dxa"/>
          <w:left w:w="108" w:type="dxa"/>
          <w:bottom w:w="0" w:type="dxa"/>
          <w:right w:w="108" w:type="dxa"/>
        </w:tblCellMar>
      </w:tblPr>
      <w:tblGrid>
        <w:gridCol w:w="464"/>
        <w:gridCol w:w="450"/>
        <w:gridCol w:w="2087"/>
        <w:gridCol w:w="2350"/>
        <w:gridCol w:w="2443"/>
        <w:gridCol w:w="2412"/>
      </w:tblGrid>
      <w:tr>
        <w:tblPrEx>
          <w:tblCellMar>
            <w:top w:w="0" w:type="dxa"/>
            <w:left w:w="108" w:type="dxa"/>
            <w:bottom w:w="0" w:type="dxa"/>
            <w:right w:w="108" w:type="dxa"/>
          </w:tblCellMar>
        </w:tblPrEx>
        <w:trPr>
          <w:trHeight w:val="685" w:hRule="atLeast"/>
          <w:jc w:val="center"/>
        </w:trPr>
        <w:tc>
          <w:tcPr>
            <w:tcW w:w="10206" w:type="dxa"/>
            <w:gridSpan w:val="6"/>
            <w:tcBorders>
              <w:top w:val="single" w:color="000000" w:sz="2" w:space="0"/>
              <w:left w:val="single" w:color="000000" w:sz="2" w:space="0"/>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非 接 触 人 体 器 械</w:t>
            </w:r>
          </w:p>
        </w:tc>
      </w:tr>
      <w:tr>
        <w:tblPrEx>
          <w:tblCellMar>
            <w:top w:w="0" w:type="dxa"/>
            <w:left w:w="108" w:type="dxa"/>
            <w:bottom w:w="0" w:type="dxa"/>
            <w:right w:w="108" w:type="dxa"/>
          </w:tblCellMar>
        </w:tblPrEx>
        <w:trPr>
          <w:jc w:val="center"/>
        </w:trPr>
        <w:tc>
          <w:tcPr>
            <w:tcW w:w="464" w:type="dxa"/>
            <w:vMerge w:val="restart"/>
            <w:tcBorders>
              <w:top w:val="nil"/>
              <w:left w:val="single" w:color="000000" w:sz="2" w:space="0"/>
              <w:bottom w:val="single" w:color="000000" w:sz="2" w:space="0"/>
              <w:right w:val="single" w:color="000000" w:sz="2" w:space="0"/>
            </w:tcBorders>
            <w:noWrap w:val="0"/>
            <w:vAlign w:val="top"/>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无源医疗器械</w:t>
            </w:r>
          </w:p>
        </w:tc>
        <w:tc>
          <w:tcPr>
            <w:tcW w:w="2537" w:type="dxa"/>
            <w:gridSpan w:val="2"/>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hint="eastAsia" w:ascii="Times New Roman" w:hAnsi="Times New Roman" w:eastAsia="仿宋_GB2312"/>
                <w:color w:val="000000" w:themeColor="text1"/>
                <w:sz w:val="24"/>
                <w:szCs w:val="24"/>
                <w:lang w:val="en-US" w:eastAsia="zh-CN"/>
                <w14:textFill>
                  <w14:solidFill>
                    <w14:schemeClr w14:val="tx1"/>
                  </w14:solidFill>
                </w14:textFill>
              </w:rPr>
              <w:t xml:space="preserve">  </w:t>
            </w:r>
            <w:r>
              <w:rPr>
                <w:rFonts w:ascii="Times New Roman" w:hAnsi="Times New Roman" w:eastAsia="仿宋_GB2312"/>
                <w:color w:val="000000" w:themeColor="text1"/>
                <w:sz w:val="24"/>
                <w:szCs w:val="24"/>
                <w14:textFill>
                  <w14:solidFill>
                    <w14:schemeClr w14:val="tx1"/>
                  </w14:solidFill>
                </w14:textFill>
              </w:rPr>
              <w:t>使用状态</w:t>
            </w:r>
          </w:p>
          <w:p>
            <w:pPr>
              <w:pStyle w:val="6"/>
              <w:widowControl/>
              <w:spacing w:line="594" w:lineRule="exact"/>
              <w:ind w:firstLine="210"/>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使用形式</w:t>
            </w:r>
          </w:p>
        </w:tc>
        <w:tc>
          <w:tcPr>
            <w:tcW w:w="23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基本不影响</w:t>
            </w:r>
          </w:p>
        </w:tc>
        <w:tc>
          <w:tcPr>
            <w:tcW w:w="244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轻微影响</w:t>
            </w:r>
          </w:p>
        </w:tc>
        <w:tc>
          <w:tcPr>
            <w:tcW w:w="2412"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重要影响</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top"/>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1</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护理器械</w:t>
            </w:r>
          </w:p>
        </w:tc>
        <w:tc>
          <w:tcPr>
            <w:tcW w:w="23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Ⅰ</w:t>
            </w:r>
          </w:p>
        </w:tc>
        <w:tc>
          <w:tcPr>
            <w:tcW w:w="244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12"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top"/>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2</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医疗器械清洗消毒器械</w:t>
            </w:r>
          </w:p>
        </w:tc>
        <w:tc>
          <w:tcPr>
            <w:tcW w:w="23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244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12"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top"/>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3</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其他无源器械</w:t>
            </w:r>
          </w:p>
        </w:tc>
        <w:tc>
          <w:tcPr>
            <w:tcW w:w="23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Ⅰ</w:t>
            </w:r>
          </w:p>
        </w:tc>
        <w:tc>
          <w:tcPr>
            <w:tcW w:w="244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12"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restart"/>
            <w:tcBorders>
              <w:top w:val="nil"/>
              <w:left w:val="single" w:color="000000" w:sz="2" w:space="0"/>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有  源 医 疗 器 械</w:t>
            </w:r>
          </w:p>
        </w:tc>
        <w:tc>
          <w:tcPr>
            <w:tcW w:w="2537" w:type="dxa"/>
            <w:gridSpan w:val="2"/>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hint="eastAsia" w:ascii="Times New Roman" w:hAnsi="Times New Roman" w:eastAsia="仿宋_GB2312"/>
                <w:color w:val="000000" w:themeColor="text1"/>
                <w:sz w:val="24"/>
                <w:szCs w:val="24"/>
                <w:lang w:val="en-US" w:eastAsia="zh-CN"/>
                <w14:textFill>
                  <w14:solidFill>
                    <w14:schemeClr w14:val="tx1"/>
                  </w14:solidFill>
                </w14:textFill>
              </w:rPr>
              <w:t xml:space="preserve">  </w:t>
            </w:r>
            <w:bookmarkStart w:id="0" w:name="_GoBack"/>
            <w:bookmarkEnd w:id="0"/>
            <w:r>
              <w:rPr>
                <w:rFonts w:ascii="Times New Roman" w:hAnsi="Times New Roman" w:eastAsia="仿宋_GB2312"/>
                <w:color w:val="000000" w:themeColor="text1"/>
                <w:sz w:val="24"/>
                <w:szCs w:val="24"/>
                <w14:textFill>
                  <w14:solidFill>
                    <w14:schemeClr w14:val="tx1"/>
                  </w14:solidFill>
                </w14:textFill>
              </w:rPr>
              <w:t>使用状态</w:t>
            </w:r>
          </w:p>
          <w:p>
            <w:pPr>
              <w:pStyle w:val="6"/>
              <w:widowControl/>
              <w:spacing w:line="594" w:lineRule="exact"/>
              <w:ind w:firstLine="210"/>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使用形式</w:t>
            </w:r>
          </w:p>
        </w:tc>
        <w:tc>
          <w:tcPr>
            <w:tcW w:w="23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基本不影响</w:t>
            </w:r>
          </w:p>
        </w:tc>
        <w:tc>
          <w:tcPr>
            <w:tcW w:w="244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轻微影响</w:t>
            </w:r>
          </w:p>
        </w:tc>
        <w:tc>
          <w:tcPr>
            <w:tcW w:w="2412"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重要影响</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1</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临床检验仪器设备</w:t>
            </w:r>
          </w:p>
        </w:tc>
        <w:tc>
          <w:tcPr>
            <w:tcW w:w="23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Ⅰ</w:t>
            </w:r>
          </w:p>
        </w:tc>
        <w:tc>
          <w:tcPr>
            <w:tcW w:w="244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12"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2</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独立软件</w:t>
            </w:r>
          </w:p>
        </w:tc>
        <w:tc>
          <w:tcPr>
            <w:tcW w:w="23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244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12"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3</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医疗器械消毒灭菌设备</w:t>
            </w:r>
          </w:p>
        </w:tc>
        <w:tc>
          <w:tcPr>
            <w:tcW w:w="23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w:t>
            </w:r>
          </w:p>
        </w:tc>
        <w:tc>
          <w:tcPr>
            <w:tcW w:w="244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12"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r>
        <w:tblPrEx>
          <w:tblCellMar>
            <w:top w:w="0" w:type="dxa"/>
            <w:left w:w="108" w:type="dxa"/>
            <w:bottom w:w="0" w:type="dxa"/>
            <w:right w:w="108" w:type="dxa"/>
          </w:tblCellMar>
        </w:tblPrEx>
        <w:trPr>
          <w:jc w:val="center"/>
        </w:trPr>
        <w:tc>
          <w:tcPr>
            <w:tcW w:w="464" w:type="dxa"/>
            <w:vMerge w:val="continue"/>
            <w:tcBorders>
              <w:top w:val="nil"/>
              <w:left w:val="single" w:color="000000" w:sz="2" w:space="0"/>
              <w:bottom w:val="single" w:color="000000" w:sz="2" w:space="0"/>
              <w:right w:val="single" w:color="000000" w:sz="2" w:space="0"/>
            </w:tcBorders>
            <w:noWrap w:val="0"/>
            <w:vAlign w:val="center"/>
          </w:tcPr>
          <w:p>
            <w:pPr>
              <w:spacing w:line="594" w:lineRule="exact"/>
              <w:jc w:val="center"/>
              <w:rPr>
                <w:rFonts w:ascii="Times New Roman" w:hAnsi="Times New Roman" w:eastAsia="仿宋_GB2312"/>
                <w:color w:val="000000" w:themeColor="text1"/>
                <w:sz w:val="24"/>
                <w:szCs w:val="24"/>
                <w14:textFill>
                  <w14:solidFill>
                    <w14:schemeClr w14:val="tx1"/>
                  </w14:solidFill>
                </w14:textFill>
              </w:rPr>
            </w:pPr>
          </w:p>
        </w:tc>
        <w:tc>
          <w:tcPr>
            <w:tcW w:w="4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4</w:t>
            </w:r>
          </w:p>
        </w:tc>
        <w:tc>
          <w:tcPr>
            <w:tcW w:w="2087"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其他有源器械</w:t>
            </w:r>
          </w:p>
        </w:tc>
        <w:tc>
          <w:tcPr>
            <w:tcW w:w="2350"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Ⅰ</w:t>
            </w:r>
          </w:p>
        </w:tc>
        <w:tc>
          <w:tcPr>
            <w:tcW w:w="2443"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Ⅱ</w:t>
            </w:r>
          </w:p>
        </w:tc>
        <w:tc>
          <w:tcPr>
            <w:tcW w:w="2412" w:type="dxa"/>
            <w:tcBorders>
              <w:top w:val="single" w:color="000000" w:sz="2" w:space="0"/>
              <w:left w:val="nil"/>
              <w:bottom w:val="single" w:color="000000" w:sz="2" w:space="0"/>
              <w:right w:val="single" w:color="000000" w:sz="2" w:space="0"/>
            </w:tcBorders>
            <w:noWrap w:val="0"/>
            <w:vAlign w:val="center"/>
          </w:tcPr>
          <w:p>
            <w:pPr>
              <w:pStyle w:val="6"/>
              <w:widowControl/>
              <w:spacing w:line="594" w:lineRule="exact"/>
              <w:jc w:val="center"/>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Ⅲ</w:t>
            </w:r>
          </w:p>
        </w:tc>
      </w:tr>
    </w:tbl>
    <w:p>
      <w:pPr>
        <w:pStyle w:val="6"/>
        <w:widowControl/>
        <w:snapToGrid w:val="0"/>
        <w:spacing w:before="312" w:line="594" w:lineRule="exact"/>
        <w:jc w:val="left"/>
        <w:rPr>
          <w:rFonts w:ascii="Times New Roman" w:hAnsi="Times New Roman" w:eastAsia="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注：1．本表中</w:t>
      </w:r>
      <w:r>
        <w:rPr>
          <w:rFonts w:hint="eastAsia" w:ascii="Times New Roman" w:hAnsi="Times New Roman" w:eastAsia="仿宋_GB2312"/>
          <w:color w:val="000000" w:themeColor="text1"/>
          <w:sz w:val="24"/>
          <w:szCs w:val="24"/>
          <w:lang w:eastAsia="zh-CN"/>
          <w14:textFill>
            <w14:solidFill>
              <w14:schemeClr w14:val="tx1"/>
            </w14:solidFill>
          </w14:textFill>
        </w:rPr>
        <w:t>“</w:t>
      </w:r>
      <w:r>
        <w:rPr>
          <w:rFonts w:ascii="Times New Roman" w:hAnsi="Times New Roman" w:eastAsia="仿宋_GB2312"/>
          <w:color w:val="000000" w:themeColor="text1"/>
          <w:sz w:val="24"/>
          <w:szCs w:val="24"/>
          <w14:textFill>
            <w14:solidFill>
              <w14:schemeClr w14:val="tx1"/>
            </w14:solidFill>
          </w14:textFill>
        </w:rPr>
        <w:t>Ⅰ</w:t>
      </w:r>
      <w:r>
        <w:rPr>
          <w:rFonts w:hint="eastAsia" w:ascii="Times New Roman" w:hAnsi="Times New Roman" w:eastAsia="仿宋_GB2312"/>
          <w:color w:val="000000" w:themeColor="text1"/>
          <w:sz w:val="24"/>
          <w:szCs w:val="24"/>
          <w:lang w:eastAsia="zh-CN"/>
          <w14:textFill>
            <w14:solidFill>
              <w14:schemeClr w14:val="tx1"/>
            </w14:solidFill>
          </w14:textFill>
        </w:rPr>
        <w:t>”</w:t>
      </w:r>
      <w:r>
        <w:rPr>
          <w:rFonts w:ascii="Times New Roman" w:hAnsi="Times New Roman" w:eastAsia="仿宋_GB2312"/>
          <w:color w:val="000000" w:themeColor="text1"/>
          <w:sz w:val="24"/>
          <w:szCs w:val="24"/>
          <w14:textFill>
            <w14:solidFill>
              <w14:schemeClr w14:val="tx1"/>
            </w14:solidFill>
          </w14:textFill>
        </w:rPr>
        <w:t>、</w:t>
      </w:r>
      <w:r>
        <w:rPr>
          <w:rFonts w:hint="eastAsia" w:ascii="Times New Roman" w:hAnsi="Times New Roman" w:eastAsia="仿宋_GB2312"/>
          <w:color w:val="000000" w:themeColor="text1"/>
          <w:sz w:val="24"/>
          <w:szCs w:val="24"/>
          <w:lang w:eastAsia="zh-CN"/>
          <w14:textFill>
            <w14:solidFill>
              <w14:schemeClr w14:val="tx1"/>
            </w14:solidFill>
          </w14:textFill>
        </w:rPr>
        <w:t>“</w:t>
      </w:r>
      <w:r>
        <w:rPr>
          <w:rFonts w:ascii="Times New Roman" w:hAnsi="Times New Roman" w:eastAsia="仿宋_GB2312"/>
          <w:color w:val="000000" w:themeColor="text1"/>
          <w:sz w:val="24"/>
          <w:szCs w:val="24"/>
          <w14:textFill>
            <w14:solidFill>
              <w14:schemeClr w14:val="tx1"/>
            </w14:solidFill>
          </w14:textFill>
        </w:rPr>
        <w:t>Ⅱ</w:t>
      </w:r>
      <w:r>
        <w:rPr>
          <w:rFonts w:hint="eastAsia" w:ascii="Times New Roman" w:hAnsi="Times New Roman" w:eastAsia="仿宋_GB2312"/>
          <w:color w:val="000000" w:themeColor="text1"/>
          <w:sz w:val="24"/>
          <w:szCs w:val="24"/>
          <w:lang w:eastAsia="zh-CN"/>
          <w14:textFill>
            <w14:solidFill>
              <w14:schemeClr w14:val="tx1"/>
            </w14:solidFill>
          </w14:textFill>
        </w:rPr>
        <w:t>”</w:t>
      </w:r>
      <w:r>
        <w:rPr>
          <w:rFonts w:ascii="Times New Roman" w:hAnsi="Times New Roman" w:eastAsia="仿宋_GB2312"/>
          <w:color w:val="000000" w:themeColor="text1"/>
          <w:sz w:val="24"/>
          <w:szCs w:val="24"/>
          <w14:textFill>
            <w14:solidFill>
              <w14:schemeClr w14:val="tx1"/>
            </w14:solidFill>
          </w14:textFill>
        </w:rPr>
        <w:t>、</w:t>
      </w:r>
      <w:r>
        <w:rPr>
          <w:rFonts w:hint="eastAsia" w:ascii="Times New Roman" w:hAnsi="Times New Roman" w:eastAsia="仿宋_GB2312"/>
          <w:color w:val="000000" w:themeColor="text1"/>
          <w:sz w:val="24"/>
          <w:szCs w:val="24"/>
          <w:lang w:eastAsia="zh-CN"/>
          <w14:textFill>
            <w14:solidFill>
              <w14:schemeClr w14:val="tx1"/>
            </w14:solidFill>
          </w14:textFill>
        </w:rPr>
        <w:t>“</w:t>
      </w:r>
      <w:r>
        <w:rPr>
          <w:rFonts w:ascii="Times New Roman" w:hAnsi="Times New Roman" w:eastAsia="仿宋_GB2312"/>
          <w:color w:val="000000" w:themeColor="text1"/>
          <w:sz w:val="24"/>
          <w:szCs w:val="24"/>
          <w14:textFill>
            <w14:solidFill>
              <w14:schemeClr w14:val="tx1"/>
            </w14:solidFill>
          </w14:textFill>
        </w:rPr>
        <w:t>Ⅲ</w:t>
      </w:r>
      <w:r>
        <w:rPr>
          <w:rFonts w:hint="eastAsia" w:ascii="Times New Roman" w:hAnsi="Times New Roman" w:eastAsia="仿宋_GB2312"/>
          <w:color w:val="000000" w:themeColor="text1"/>
          <w:sz w:val="24"/>
          <w:szCs w:val="24"/>
          <w:lang w:eastAsia="zh-CN"/>
          <w14:textFill>
            <w14:solidFill>
              <w14:schemeClr w14:val="tx1"/>
            </w14:solidFill>
          </w14:textFill>
        </w:rPr>
        <w:t>”</w:t>
      </w:r>
      <w:r>
        <w:rPr>
          <w:rFonts w:ascii="Times New Roman" w:hAnsi="Times New Roman" w:eastAsia="仿宋_GB2312"/>
          <w:color w:val="000000" w:themeColor="text1"/>
          <w:sz w:val="24"/>
          <w:szCs w:val="24"/>
          <w14:textFill>
            <w14:solidFill>
              <w14:schemeClr w14:val="tx1"/>
            </w14:solidFill>
          </w14:textFill>
        </w:rPr>
        <w:t>分别代表第一类、第二类、第三类医疗器械；</w:t>
      </w:r>
    </w:p>
    <w:p>
      <w:pPr>
        <w:pStyle w:val="6"/>
        <w:widowControl/>
        <w:snapToGrid w:val="0"/>
        <w:spacing w:before="312" w:line="594" w:lineRule="exact"/>
        <w:ind w:firstLine="480" w:firstLineChars="200"/>
        <w:jc w:val="lef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24"/>
          <w:szCs w:val="24"/>
          <w14:textFill>
            <w14:solidFill>
              <w14:schemeClr w14:val="tx1"/>
            </w14:solidFill>
          </w14:textFill>
        </w:rPr>
        <w:t>2．本表中</w:t>
      </w:r>
      <w:r>
        <w:rPr>
          <w:rFonts w:hint="eastAsia" w:ascii="Times New Roman" w:hAnsi="Times New Roman" w:eastAsia="仿宋_GB2312"/>
          <w:color w:val="000000" w:themeColor="text1"/>
          <w:sz w:val="24"/>
          <w:szCs w:val="24"/>
          <w:lang w:eastAsia="zh-CN"/>
          <w14:textFill>
            <w14:solidFill>
              <w14:schemeClr w14:val="tx1"/>
            </w14:solidFill>
          </w14:textFill>
        </w:rPr>
        <w:t>“</w:t>
      </w:r>
      <w:r>
        <w:rPr>
          <w:rFonts w:ascii="Times New Roman" w:hAnsi="Times New Roman" w:eastAsia="仿宋_GB2312"/>
          <w:color w:val="000000" w:themeColor="text1"/>
          <w:sz w:val="24"/>
          <w:szCs w:val="24"/>
          <w14:textFill>
            <w14:solidFill>
              <w14:schemeClr w14:val="tx1"/>
            </w14:solidFill>
          </w14:textFill>
        </w:rPr>
        <w:t>－</w:t>
      </w:r>
      <w:r>
        <w:rPr>
          <w:rFonts w:hint="eastAsia" w:ascii="Times New Roman" w:hAnsi="Times New Roman" w:eastAsia="仿宋_GB2312"/>
          <w:color w:val="000000" w:themeColor="text1"/>
          <w:sz w:val="24"/>
          <w:szCs w:val="24"/>
          <w:lang w:eastAsia="zh-CN"/>
          <w14:textFill>
            <w14:solidFill>
              <w14:schemeClr w14:val="tx1"/>
            </w14:solidFill>
          </w14:textFill>
        </w:rPr>
        <w:t>”</w:t>
      </w:r>
      <w:r>
        <w:rPr>
          <w:rFonts w:ascii="Times New Roman" w:hAnsi="Times New Roman" w:eastAsia="仿宋_GB2312"/>
          <w:color w:val="000000" w:themeColor="text1"/>
          <w:sz w:val="24"/>
          <w:szCs w:val="24"/>
          <w14:textFill>
            <w14:solidFill>
              <w14:schemeClr w14:val="tx1"/>
            </w14:solidFill>
          </w14:textFill>
        </w:rPr>
        <w:t>代表不存在这种情形。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A1F42D0"/>
    <w:rsid w:val="0AAF1847"/>
    <w:rsid w:val="0B0912D7"/>
    <w:rsid w:val="0B680A2B"/>
    <w:rsid w:val="0D054785"/>
    <w:rsid w:val="0EC76A20"/>
    <w:rsid w:val="0F1674DD"/>
    <w:rsid w:val="102B16F6"/>
    <w:rsid w:val="11072A94"/>
    <w:rsid w:val="13102CD3"/>
    <w:rsid w:val="13423986"/>
    <w:rsid w:val="141F082C"/>
    <w:rsid w:val="152377F2"/>
    <w:rsid w:val="152D2DCA"/>
    <w:rsid w:val="15F071BA"/>
    <w:rsid w:val="167F4AB6"/>
    <w:rsid w:val="17EF6030"/>
    <w:rsid w:val="1847093C"/>
    <w:rsid w:val="18793362"/>
    <w:rsid w:val="18D72194"/>
    <w:rsid w:val="19A15111"/>
    <w:rsid w:val="1A650BC0"/>
    <w:rsid w:val="1B7543E7"/>
    <w:rsid w:val="1CE712D2"/>
    <w:rsid w:val="1CF94D1C"/>
    <w:rsid w:val="1D012A8E"/>
    <w:rsid w:val="1DEC284C"/>
    <w:rsid w:val="1E6523AC"/>
    <w:rsid w:val="1F361A96"/>
    <w:rsid w:val="1F935EFC"/>
    <w:rsid w:val="1FF836E7"/>
    <w:rsid w:val="206C5A7D"/>
    <w:rsid w:val="20EC26B9"/>
    <w:rsid w:val="213E34FF"/>
    <w:rsid w:val="21FF061A"/>
    <w:rsid w:val="22440422"/>
    <w:rsid w:val="22603595"/>
    <w:rsid w:val="22BF7272"/>
    <w:rsid w:val="22FC6C14"/>
    <w:rsid w:val="240B677B"/>
    <w:rsid w:val="2431531A"/>
    <w:rsid w:val="24D61B1B"/>
    <w:rsid w:val="25117842"/>
    <w:rsid w:val="26881739"/>
    <w:rsid w:val="269C67AD"/>
    <w:rsid w:val="27FA06B1"/>
    <w:rsid w:val="289572DB"/>
    <w:rsid w:val="29D709EB"/>
    <w:rsid w:val="2AA64C74"/>
    <w:rsid w:val="2B005FDB"/>
    <w:rsid w:val="2CD07AD5"/>
    <w:rsid w:val="303B7C0D"/>
    <w:rsid w:val="30A97689"/>
    <w:rsid w:val="310D3357"/>
    <w:rsid w:val="31A15F24"/>
    <w:rsid w:val="33A95A17"/>
    <w:rsid w:val="34C61E47"/>
    <w:rsid w:val="353109EB"/>
    <w:rsid w:val="374768C0"/>
    <w:rsid w:val="395347B5"/>
    <w:rsid w:val="39A232A0"/>
    <w:rsid w:val="39BE0417"/>
    <w:rsid w:val="39E745AA"/>
    <w:rsid w:val="3A4355A5"/>
    <w:rsid w:val="3B0567AE"/>
    <w:rsid w:val="3B5A6BBB"/>
    <w:rsid w:val="3DA2013A"/>
    <w:rsid w:val="3E004607"/>
    <w:rsid w:val="3E7147C4"/>
    <w:rsid w:val="3EDA13A6"/>
    <w:rsid w:val="3F706D19"/>
    <w:rsid w:val="3FA70E1B"/>
    <w:rsid w:val="402900C3"/>
    <w:rsid w:val="41FF0A9A"/>
    <w:rsid w:val="4210198E"/>
    <w:rsid w:val="42F058B7"/>
    <w:rsid w:val="436109F6"/>
    <w:rsid w:val="441A38D4"/>
    <w:rsid w:val="44A86E54"/>
    <w:rsid w:val="45BF7A6B"/>
    <w:rsid w:val="477D3B0A"/>
    <w:rsid w:val="4882778C"/>
    <w:rsid w:val="48C3267B"/>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9A2FC4"/>
    <w:rsid w:val="505C172E"/>
    <w:rsid w:val="506E68C1"/>
    <w:rsid w:val="512207F0"/>
    <w:rsid w:val="51CA1CE5"/>
    <w:rsid w:val="52F46F0B"/>
    <w:rsid w:val="538E3AFD"/>
    <w:rsid w:val="53D8014D"/>
    <w:rsid w:val="54DA09AE"/>
    <w:rsid w:val="55186E99"/>
    <w:rsid w:val="55CB762E"/>
    <w:rsid w:val="55E064E0"/>
    <w:rsid w:val="56252ED4"/>
    <w:rsid w:val="567367B1"/>
    <w:rsid w:val="567A40FD"/>
    <w:rsid w:val="56C37E91"/>
    <w:rsid w:val="571C6D53"/>
    <w:rsid w:val="572C6D10"/>
    <w:rsid w:val="59E05ECD"/>
    <w:rsid w:val="5B0F7567"/>
    <w:rsid w:val="5B5B46DE"/>
    <w:rsid w:val="5BE223A9"/>
    <w:rsid w:val="5CA16EC6"/>
    <w:rsid w:val="5D4A5E95"/>
    <w:rsid w:val="5DC34279"/>
    <w:rsid w:val="5DD44580"/>
    <w:rsid w:val="5DFE5C52"/>
    <w:rsid w:val="5E077A21"/>
    <w:rsid w:val="5EB97FA5"/>
    <w:rsid w:val="5EC12C3D"/>
    <w:rsid w:val="5EE66C00"/>
    <w:rsid w:val="608816D1"/>
    <w:rsid w:val="60EF4E7F"/>
    <w:rsid w:val="61F050AA"/>
    <w:rsid w:val="61F32B8C"/>
    <w:rsid w:val="62D84446"/>
    <w:rsid w:val="62E94FF3"/>
    <w:rsid w:val="63FF5EE3"/>
    <w:rsid w:val="6570193C"/>
    <w:rsid w:val="665233C1"/>
    <w:rsid w:val="667C3224"/>
    <w:rsid w:val="67D86D04"/>
    <w:rsid w:val="6AD9688B"/>
    <w:rsid w:val="6B27617D"/>
    <w:rsid w:val="6BB7602F"/>
    <w:rsid w:val="6C946377"/>
    <w:rsid w:val="6D0E3F22"/>
    <w:rsid w:val="6E6A06EF"/>
    <w:rsid w:val="70673123"/>
    <w:rsid w:val="70E46F2A"/>
    <w:rsid w:val="72F97425"/>
    <w:rsid w:val="736032BE"/>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3162</Words>
  <Characters>3183</Characters>
  <Lines>63</Lines>
  <Paragraphs>17</Paragraphs>
  <TotalTime>5</TotalTime>
  <ScaleCrop>false</ScaleCrop>
  <LinksUpToDate>false</LinksUpToDate>
  <CharactersWithSpaces>3478</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2022-09-21T08:14:34Z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F55B57566AE2466DBE230FB494ABFA4C</vt:lpwstr>
  </property>
</Properties>
</file>