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方正小标宋简体" w:cs="方正小标宋简体"/>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医疗器械经营监督管理办法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方正小标宋简体" w:cs="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（2022年3月10日国家市场监督管理总局令第54号公布）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第一章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为了加强医疗器械经营监督管理，规范医疗器械经营活动，保证医疗器械安全、有效，根据《医疗器械监督管理条例》，制定本办法。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在中华人民共和国境内从事医疗器械经营活动及其监督管理，应当遵守本办法。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从事医疗器械经营活动，应当遵守法律、法规、规章、强制性标准和医疗器械经营质量管理规范等要求，保证医疗器械经营过程信息真实、准确、完整和可追溯。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医疗器械注册人、备案人可以自行销售，也可以委托医疗器械经营企业销售其注册、备案的医疗器械。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按照医疗器械风险程度，医疗器械经营实施分类管理。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经营第三类医疗器械实行许可管理，经营第二类医疗器械实行备案管理，经营第一类医疗器械不需要许可和备案。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国家药品监督管理局主管全国医疗器械经营监督管理工作。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省、自治区、直辖市药品监督管理部门负责本行政区域的医疗器械经营监督管理工作。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设区的市级、县级负责药品监督管理的部门负责本行政区域的医疗器械经营监督管理工作。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药品监督管理部门依法设置或者指定的医疗器械检查、检验、监测与评价等专业技术机构，按照职责分工承担相关技术工作并出具技术意见，为医疗器械经营监督管理提供技术支持。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国家药品监督管理局加强医疗器械经营监督管理信息化建设，提高在线政务服务水平。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省、自治区、直辖市药品监督管理部门负责本行政区域医疗器械经营监督管理信息化建设和管理工作，按照国家药品监督管理局要求统筹推进医疗器械经营监督管理信息共享。</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药品监督管理部门依法及时公开医疗器械经营许可、备案等信息以及监督检查、行政处罚的结果，方便公众查询，接受社会监督。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第二章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经营许可与备案管理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从事医疗器械经营活动，应当具备下列条件：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（一）与经营范围和经营规模相适应的质量管理机构或者质量管理人员，质量管理人员应当具有相关专业学历或者职称；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（二）与经营范围和经营规模相适应的经营场所；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（三）与经营范围和经营规模相适应的贮存条件；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（四）与经营的医疗器械相适应的质量管理制度；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（五）与经营的医疗器械相适应的专业指导、技术培训和售后服务的质量管理机构或者人员。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从事第三类医疗器械经营的企业还应当具有符合医疗器械经营质量管理制度要求的计算机信息管理系统，保证经营的产品可追溯。鼓励从事第一类、第二类医疗器械经营的企业建立符合医疗器械经营质量管理制度要求的计算机信息管理系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从事第三类医疗器械经营的，经营企业应当向所在地设区的市级负责药品监督管理的部门提出申请，并提交下列资料：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（一）法定代表人（企业负责人）、质量负责人身份证明、学历或者职称相关材料复印件；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（二）企业组织机构与部门设置；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（三）医疗器械经营范围、经营方式；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（四）经营场所和库房的地理位置图、平面图、房屋产权文件或者租赁协议复印件；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（五）主要经营设施、设备目录；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（六）经营质量管理制度、工作程序等文件目录；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（七）信息管理系统基本情况；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（八）经办人授权文件。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医疗器械经营许可申请人应当确保提交的资料合法、真实、准确、完整和可追溯。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设区的市级负责药品监督管理的部门收到申请后，应当根据下列情况分别作出处理：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（一）申请事项属于本行政机关职权范围，申请资料齐全、符合法定形式的，应当受理申请；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（二）申请资料存在可以当场更正的错误的，应当允许申请人当场更正；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（三）申请资料不齐全或者不符合法定形式的，应当当场或者在5个工作日内一次告知申请人需要补正的全部内容。逾期不告知的，自收到申请资料之日起即为受理；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（四）申请事项不属于本行政机关职权范围的，应当即时作出不予受理的决定，并告知申请人向有关行政部门申请。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设区的市级负责药品监督管理的部门受理或者不予受理医疗器械经营许可申请的，应当出具加盖本行政机关专用印章和注明日期的受理或者不予受理通知书。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第十二条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法律、法规、规章规定实施行政许可应当听证的事项，或者药品监督管理部门认为需要听证的其他涉及公共利益的重大行政许可事项，药品监督管理部门应当向社会公告，并举行听证。医疗器械经营许可申请直接涉及申请人与他人之间重大利益关系的，药品监督管理部门在作出行政许可决定前，应当告知申请人、利害关系人享有要求听证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负责药品监督管理的部门自受理经营许可申请后，应当对申请资料进行审查，必要时按照医疗器械经营质量管理规范的要求开展现场核查，并自受理之日起20个工作日内作出决定。需要整改的，整改时间不计入审核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符合规定条件的，作出准予许可的书面决定，并于10个工作日内发给医疗器械经营许可证；不符合规定条件的，作出不予许可的书面决定，并说明理由。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第十四条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医疗器械经营许可证有效期为5年，载明许可证编号、企业名称、统一社会信用代码、法定代表人、企业负责人、住所、经营场所、经营方式、经营范围、库房地址、发证部门、发证日期和有效期限等事项。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医疗器械经营许可证由国家药品监督管理局统一样式，由设区的市级负责药品监督管理的部门印制。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药品监督管理部门制作的医疗器械经营许可证的电子证书与纸质证书具有同等法律效力。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医疗器械经营许可证变更的，应当向原发证部门提出医疗器械经营许可证变更申请，并提交本办法</w:t>
      </w:r>
      <w:r>
        <w:rPr>
          <w:rFonts w:hint="eastAsia" w:ascii="Times New Roman" w:hAnsi="Times New Roman" w:eastAsia="仿宋_GB2312"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规定中涉及变更内容的有关材料。经营场所、经营方式、经营范围、库房地址变更的，药品监督管理部门自受理之日起20个工作日内作出准予变更或者不予变更的决定。必要时按照医疗器械经营质量管理规范的要求开展现场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需要整改的，整改时间不计入审核时限。不予变更的，应当书面说明理由并告知申请人。其他事项变更的，药品监督管理部门应当当场予以变更。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变更后的医疗器械经营许可证编号和有效期限不变。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第十六条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医疗器械经营许可证有效期届满需要延续的，医疗器械经营企业应当在有效期届满前90个工作日至30个工作日期间提出延续申请。逾期未提出延续申请的，不再受理其延续申请。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原发证部门应当按照本办法第十三条的规定对延续申请进行审查，必要时开展现场核查，在医疗器械经营许可证有效期届满前作出是否准予延续的决定。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经审查符合规定条件的，准予延续，延续后的医疗器械经营许可证编号不变。不符合规定条件的，责令限期整改；整改后仍不符合规定条件的，不予延续，并书面说明理由。逾期未作出决定的，视为准予延续。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延续许可的批准时间在原许可证有效期内的，延续起始日为原许可证到期日的次日；批准时间不在原许可证有效期内的，延续起始日为批准延续许可的日期。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第十七条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经营企业跨设区的市设置库房的，由医疗器械经营许可发证部门或者备案部门通报库房所在地设区的市级负责药品监督管理的部门。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经营企业新设立独立经营场所的，应当依法单独申请医疗器械经营许可或者进行备案。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医疗器械经营许可证遗失的，应当向原发证部门申请补发。原发证部门应当及时补发医疗器械经营许可证，补发的医疗器械经营许可证编号和有效期限与原许可证一致。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有下列情形之一的，由原发证部门依法注销医疗器械经营许可证，并予以公告：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（一）主动申请注销的；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（二）有效期届满未延续的；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（三）市场主体资格依法终止的；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（四）医疗器械经营许可证依法被吊销或者撤销的；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（五）法律、法规规定应当注销行政许可的其他情形。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从事第二类医疗器械经营的，经营企业应当向所在地设区的市级负责药品监督管理的部门备案，并提交符合本办法</w:t>
      </w:r>
      <w:r>
        <w:rPr>
          <w:rFonts w:hint="eastAsia" w:ascii="Times New Roman" w:hAnsi="Times New Roman" w:eastAsia="仿宋_GB2312" w:cs="仿宋_GB2312"/>
          <w:b w:val="0"/>
          <w:bCs w:val="0"/>
          <w:color w:val="auto"/>
          <w:sz w:val="32"/>
          <w:szCs w:val="32"/>
          <w:lang w:eastAsia="zh-CN"/>
        </w:rPr>
        <w:t>第十条</w:t>
      </w:r>
      <w:r>
        <w:rPr>
          <w:rFonts w:hint="eastAsia" w:ascii="Times New Roman" w:hAnsi="Times New Roman" w:eastAsia="仿宋_GB2312" w:cs="仿宋_GB2312"/>
          <w:b w:val="0"/>
          <w:bCs w:val="0"/>
          <w:color w:val="auto"/>
          <w:sz w:val="32"/>
          <w:szCs w:val="32"/>
        </w:rPr>
        <w:t>规定的资料（第七项除外），即完成经营备案，获取经营备案编号。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医疗器械经营备案人应当确保提交的资料合法、真实、准确、完整和可追溯。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必要时，设区的市级负责药品监督管理的部门在完成备案之日起3个月内，对提交的资料以及执行医疗器械经营质量管理规范情况开展现场检查。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现场检查发现与提交的资料不一致或者不符合医疗器械经营质量管理规范要求的，责令限期改正；不能保证产品安全、有效的，取消备案并向社会公告。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同时申请第三类医疗器械经营许可和进行第二类医疗器械经营备案的，或者已经取得第三类医疗器械经营许可进行第二类医疗器械备案的，可以免予提交相应资料。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二类医疗器械经营企业的经营场所、经营方式、经营范围、库房地址等发生变化的，应当及时进行备案变更。必要时设区的市级负责药品监督管理的部门开展现场检查。现场检查不符合医疗器械经营质量管理规范要求的，责令限期改正；不能保证产品安全、有效的，取消备案并向社会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对产品安全性、有效性不受流通过程影响的第二类医疗器械，可以免予经营备案。具体产品名录由国家药品监督管理局制定、调整并公布。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从事非营利的避孕医疗器械贮存、调拨和供应的机构，应当符合有关规定，无需办理医疗器械经营许可或者备案。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在其住所或者生产地址销售其注册、备案的医疗器械，无需办理医疗器械经营许可或者备案，但应当符合规定的经营条件；在其他场所贮存并销售医疗器械的，应当按照规定办理医疗器械经营许可或者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任何单位和个人不得伪造、变造、买卖、出租、出借医疗器械经营许可证。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黑体" w:cs="黑体"/>
          <w:b w:val="0"/>
          <w:bCs w:val="0"/>
          <w:color w:val="auto"/>
          <w:sz w:val="32"/>
          <w:szCs w:val="32"/>
          <w:lang w:eastAsia="zh-CN"/>
        </w:rPr>
      </w:pPr>
      <w:r>
        <w:rPr>
          <w:rFonts w:hint="eastAsia" w:ascii="Times New Roman" w:hAnsi="Times New Roman" w:eastAsia="黑体" w:cs="黑体"/>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第三章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经营质量管理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经营，应当按照法律法规和医疗器械经营质量管理规范的要求，建立覆盖采购、验收、贮存、销售、运输、售后服务等全过程的质量管理制度和质量控制措施，并做好相关记录，保证经营条件和经营活动持续符合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第三十条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医疗器械经营企业应当建立并实施产品追溯制度，保证产品可追溯。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医疗器械经营企业应当按照国家有关规定执行医疗器械唯一标识制度。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医疗器械经营企业应当从具有合法资质的医疗器械注册人、备案人、经营企业购进医疗器械。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医疗器械经营企业应当建立进货查验记录制度，购进医疗器械时应当查验供货企业的资质，以及医疗器械注册证和备案信息、合格证明文件。进货查验记录应当真实、准确、完整和可追溯。进货查验记录包括：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（一）医疗器械的名称、型号、规格、数量；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（二）医疗器械注册证编号或者备案编号；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（三）医疗器械注册人、备案人和受托生产企业名称、生产许可证号或者备案编号；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（四）医疗器械的生产批号或者序列号、使用期限或者失效日期、购货日期等；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（五）供货者的名称、地址以及联系方式。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进货查验记录应当保存至医疗器械有效期满后2年；没有有效期的，不得少于5年。植入类医疗器械进货查验记录应当永久保存。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医疗器械经营企业应当采取有效措施，确保医疗器械运输、贮存符合医疗器械说明书或者标签标示要求，并做好相应记录。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对温度、湿度等环境条件有特殊要求的，应当采取相应措施，保证医疗器械的安全、有效。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和经营企业委托其他单位运输、贮存医疗器械的，应当对受托方运输、贮存医疗器械的质量保障能力进行评估，并与其签订委托协议，明确运输、贮存过程中的质量责任，确保运输、贮存过程中的质量安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为医疗器械注册人、备案人和经营企业专门提供运输、贮存服务的，应当与委托方签订书面协议，明确双方权利义务和质量责任，并具有与产品运输、贮存条件和规模相适应的设备设施，具备与委托方开展实时电子数据交换和实现产品经营质量管理全过程可追溯的信息管理平台和技术手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医疗器械注册人、备案人委托销售的，应当委托符合条件的医疗器械经营企业，并签订委托协议，明确双方的权利和义务。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医疗器械注册人、备案人和经营企业应当加强对销售人员的培训和管理，对销售人员以本企业名义从事的医疗器械购销行为承担法律责任。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从事第二类、第三类医疗器械批发业务以及第三类医疗器械零售业务的经营企业应当建立销售记录制度。销售记录信息应当真实、准确、完整和可追溯。销售记录包括：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（一）医疗器械的名称、型号、规格、注册证编号或者备案编号、数量、单价、金额；</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（二）医疗器械的生产批号或者序列号、使用期限或者失效日期、销售日期；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（三）医疗器械注册人、备案人和受托生产企业名称、生产许可证编号或者备案编号。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从事第二类、第三类医疗器械批发业务的企业，销售记录还应当包括购货者的名称、地址、联系方式、相关许可证明文件编号或者备案编号等。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销售记录应当保存至医疗器械有效期满后2年；没有有效期的，不得少于5年。植入类医疗器械销售记录应当永久保存。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医疗器械经营企业应当提供售后服务。约定由供货者或者其他机构提供售后服务的，经营企业应当加强管理，保证医疗器械售后的安全使用。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第四十条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医疗器械经营企业应当配备专职或者兼职人员负责售后管理，对客户投诉的质量问题应当查明原因，采取有效措施及时处理和反馈，并做好记录，必要时及时通知医疗器械注册人、备案人、生产经营企业。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医疗器械经营企业应当协助医疗器械注册人、备案人，对所经营的医疗器械开展不良事件监测，按照国家药品监督管理局的规定，向医疗器械不良事件监测技术机构报告。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发现其经营的医疗器械不符合强制性标准、经注册或者备案的产品技术要求，或者存在其他缺陷的，应当立即停止经营，通知医疗器械注册人、备案人等有关单位，并记录停止经营和通知情况。医疗器械注册人、备案人认为需要召回的，应当立即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第三类医疗器械经营企业停业一年以上，恢复经营前，应当进行必要的验证和确认，并书面报告所在地设区的市级负责药品监督管理的部门。可能影响质量安全的，药品监督管理部门可以根据需要组织核查。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人、备案人、经营企业经营条件发生重大变化，不再符合医疗器械经营质量管理体系要求的，应当立即采取整改措施；可能影响医疗器械安全、有效的，应当立即停止经营活动，并向原经营许可或者备案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医疗器械经营企业应当建立质量管理自查制度，按照医疗器械经营质量管理规范要求进行自查，每年3月31日前向所在地市县级负责药品监督管理的部门提交上一年度的自查报告。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从事医疗器械经营活动的，不得经营未依法注册或者备案，无合格证明文件以及过期、失效、淘汰的医疗器械。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禁止进口、销售过期、失效、淘汰等已使用过的医疗器械。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第四章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省、自治区、直辖市药品监督管理部门组织对本行政区域的医疗器械经营监督管理工作进行监督检查。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设区的市级、县级负责药品监督管理的部门负责本行政区域医疗器械经营活动的监督检查。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药品监督管理部门根据医疗器械经营企业质量管理和所经营医疗器械产品的风险程度，实施分类分级管理并动态调整。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设区的市级、县级负责药品监督管理的部门应当制定年度检查计划，明确监管重点、检查频次和覆盖范围并组织实施。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组织监督检查，检查方式原则上应当采取突击性监督检查，现场检查时不得少于两人，并出示执法证件，如实记录现场检查情况。检查发现存在质量安全风险或者不符合规范要求的，将检查结果书面告知被检查企业。需要整改的，应当明确整改内容以及整改期限，并进行跟踪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设区的市级、县级负责药品监督管理的部门应当对医疗器械经营企业符合医疗器械经营质量管理规范要求的情况进行监督检查，督促其规范经营活动。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设区的市级、县级负责药品监督管理的部门应当结合医疗器械经营企业提交的年度自查报告反映的情况加强监督检查。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药品监督管理部门应当对有下列情形的进行重点监督检查：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（一）上一年度监督检查中发现存在严重问题的；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（二）因违反有关法律、法规受到行政处罚的；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（三）风险会商确定的重点检查企业；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（四）有不良信用记录的；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（五）新开办或者经营条件发生重大变化的医疗器械批发企业和第三类医疗器械零售企业；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（六）为其他医疗器械注册人、备案人和生产经营企业专门提供贮存、运输服务的；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（七）其他需要重点监督检查的情形。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药品监督管理部门对不良事件监测、抽查检验、投诉举报等发现可能存在严重质量安全风险的，原则上应当开展有因检查。有因检查原则上采取非预先告知的方式进行。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药品监督管理部门根据医疗器械质量安全风险防控需要，可以对为医疗器械经营活动提供产品或者服务的其他相关单位和个人进行延伸检查。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医疗器械经营企业跨设区的市设置的库房，由库房所在地药品监督管理部门负责监督检查。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医疗器械经营企业所在地药品监督管理部门和库房所在地药品监督管理部门应当加强监管信息共享，必要时可以开展联合检查。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药品监督管理部门应当加强医疗器械经营环节的抽查检验，对抽查检验不合格的，应当及时处置。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省级以上药品监督管理部门应当根据抽查检验结论及时发布医疗器械质量公告。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经营的医疗器械对人体造成伤害或者有证据证明可能危害人体健康的，药品监督管理部门可以采取暂停进口、经营、使用的紧急控制措施，并发布安全警示信息。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监督检查中发现经营活动严重违反医疗器械经营质量管理规范，不能保证产品安全有效，可能危害人体健康的，依照前款规定处理。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药品监督管理部门应当根据监督检查、产品抽检、不良事件监测、投诉举报、行政处罚等情况，定期开展风险会商研判，做好医疗器械质量安全隐患排查和防控处置工作。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医疗器械注册人、备案人、经营企业对存在的医疗器械质量安全风险，未采取有效措施消除的，药品监督管理部门可以对医疗器械注册人、备案人、经营企业的法定代表人或者企业负责人进行责任约谈。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第六十条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设区的市级负责药品监督管理的部门应当建立并及时更新辖区内医疗器械经营企业信用档案。信用档案中应当包括医疗器械经营企业许可备案、监督检查结果、违法行为查处、质量抽查检验、自查报告、不良行为记录和投诉举报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对有不良信用记录的医疗器械注册人、备案人和经营企业，药品监督管理部门应当增加监督检查频次，依法加强失信惩戒。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药品监督管理部门应当公布接受投诉、举报的联系方式。接到举报的药品监督管理部门应当及时核实、处理、答复。经查证属实的，应当按照有关规定对举报人给予奖励。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药品监督管理部门在监督检查中，发现涉嫌违法行为的，应当及时收集和固定证据，依法立案查处；涉嫌犯罪的，及时移交公安机关处理。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药品监督管理部门及其工作人员对调查、检查中知悉的商业秘密应当保密。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药品监督管理部门及其工作人员在监督检查中，应当严格规范公正文明执法，严格执行廉政纪律，不得索取或者收受财物，不得谋取其他利益，不得妨碍企业的正常经营活动。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第五章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医疗器械经营的违法行为，医疗器械监督管理条例等法律法规已有规定的，依照其规定。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有下列情形之一的，责令限期改正，并处1万元以上5万元以下罚款；情节严重的，处5万元以上10万元以下罚款；造成危害后果的，处10万元以上20万元以下罚款：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（一）第三类医疗器械经营企业擅自变更经营场所、经营范围、经营方式、库房地址；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（二）医疗器械经营许可证有效期届满后，未依法办理延续手续仍继续从事医疗器械经营活动。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未经许可从事第三类医疗器械经营活动的，依照医疗器械监督管理条例</w:t>
      </w:r>
      <w:r>
        <w:rPr>
          <w:rFonts w:hint="eastAsia" w:ascii="Times New Roman" w:hAnsi="Times New Roman" w:eastAsia="仿宋_GB2312" w:cs="仿宋_GB2312"/>
          <w:b w:val="0"/>
          <w:bCs w:val="0"/>
          <w:color w:val="auto"/>
          <w:sz w:val="32"/>
          <w:szCs w:val="32"/>
          <w:lang w:eastAsia="zh-CN"/>
        </w:rPr>
        <w:t>第八十一条</w:t>
      </w:r>
      <w:r>
        <w:rPr>
          <w:rFonts w:hint="eastAsia" w:ascii="Times New Roman" w:hAnsi="Times New Roman" w:eastAsia="仿宋_GB2312" w:cs="仿宋_GB2312"/>
          <w:b w:val="0"/>
          <w:bCs w:val="0"/>
          <w:color w:val="auto"/>
          <w:sz w:val="32"/>
          <w:szCs w:val="32"/>
        </w:rPr>
        <w:t>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违反医疗器械经营质量管理规范有关要求的，由药品监督管理部门责令限期改正；影响医疗器械产品安全、有效的，依照医疗器械监督管理条例</w:t>
      </w:r>
      <w:r>
        <w:rPr>
          <w:rFonts w:hint="eastAsia" w:ascii="Times New Roman" w:hAnsi="Times New Roman" w:eastAsia="仿宋_GB2312" w:cs="仿宋_GB2312"/>
          <w:b w:val="0"/>
          <w:bCs w:val="0"/>
          <w:color w:val="auto"/>
          <w:sz w:val="32"/>
          <w:szCs w:val="32"/>
          <w:lang w:eastAsia="zh-CN"/>
        </w:rPr>
        <w:t>第八十六条</w:t>
      </w:r>
      <w:r>
        <w:rPr>
          <w:rFonts w:hint="eastAsia" w:ascii="Times New Roman" w:hAnsi="Times New Roman" w:eastAsia="仿宋_GB2312" w:cs="仿宋_GB2312"/>
          <w:b w:val="0"/>
          <w:bCs w:val="0"/>
          <w:color w:val="auto"/>
          <w:sz w:val="32"/>
          <w:szCs w:val="32"/>
        </w:rPr>
        <w:t>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经营企业未按照要求提交质量管理体系年度自查报告，或者违反本办法规定为其他医疗器械生产经营企业专门提供贮存、运输服务的，由药品监督管理部门责令限期改正；拒不改正的，处1万元以上5万元以下罚款；情节严重的，处5万元以上10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第三类医疗器械经营企业未按照本办法规定办理企业名称、法定代表人、企业负责人变更的，由药品监督管理部门责令限期改正；拒不改正的，处5000元以上3万元以下罚款。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第七十条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药品监督管理部门工作人员违反本办法规定，滥用职权、玩忽职守、徇私舞弊的，依法给予处分。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第六章</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rPr>
        <w:t>附</w:t>
      </w:r>
      <w:r>
        <w:rPr>
          <w:rFonts w:hint="eastAsia" w:ascii="Times New Roman" w:hAnsi="Times New Roman" w:eastAsia="黑体" w:cs="黑体"/>
          <w:b w:val="0"/>
          <w:bCs w:val="0"/>
          <w:color w:val="auto"/>
          <w:sz w:val="32"/>
          <w:szCs w:val="32"/>
          <w:lang w:val="en-US" w:eastAsia="zh-CN"/>
        </w:rPr>
        <w:t xml:space="preserve">    </w:t>
      </w:r>
      <w:bookmarkStart w:id="0" w:name="_GoBack"/>
      <w:bookmarkEnd w:id="0"/>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本办法下列用语的含义是：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医疗器械批发，是指将医疗器械销售给医疗器械生产企业、医疗器械经营企业、医疗器械使用单位或者其他有合理使用需求的单位的医疗器械经营行为。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医疗器械零售，是指将医疗器械直接销售给消费者个人使用的医疗器械经营行为。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从事医疗器械网络销售的，应当遵守法律、法规和规章有关规定。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本办法自2022年5月1日起施行。2014年7月30日原国家食品药品监督管理总局令第8号公布的《医疗器械经营监督管理办法》同时废止。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0B63FBB"/>
    <w:rsid w:val="152D2DCA"/>
    <w:rsid w:val="184742E8"/>
    <w:rsid w:val="1B6E7D93"/>
    <w:rsid w:val="1DEC284C"/>
    <w:rsid w:val="1E6523AC"/>
    <w:rsid w:val="1F361A96"/>
    <w:rsid w:val="22440422"/>
    <w:rsid w:val="236E69A3"/>
    <w:rsid w:val="25117842"/>
    <w:rsid w:val="27FA06B1"/>
    <w:rsid w:val="29BA1443"/>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478D3"/>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6DB51D85"/>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19</Pages>
  <Words>8221</Words>
  <Characters>8246</Characters>
  <Lines>63</Lines>
  <Paragraphs>17</Paragraphs>
  <TotalTime>5</TotalTime>
  <ScaleCrop>false</ScaleCrop>
  <LinksUpToDate>false</LinksUpToDate>
  <CharactersWithSpaces>8707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2022-09-17T10:53:17Z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