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auto"/>
          <w:sz w:val="44"/>
          <w:szCs w:val="44"/>
        </w:rPr>
      </w:pPr>
    </w:p>
    <w:p>
      <w:pPr>
        <w:spacing w:line="594" w:lineRule="exact"/>
        <w:jc w:val="center"/>
        <w:rPr>
          <w:rFonts w:ascii="Times New Roman" w:hAnsi="Times New Roman" w:eastAsia="方正小标宋简体"/>
          <w:bCs/>
          <w:color w:val="auto"/>
          <w:sz w:val="44"/>
          <w:szCs w:val="44"/>
        </w:rPr>
      </w:pPr>
      <w:r>
        <w:rPr>
          <w:rFonts w:ascii="Times New Roman" w:hAnsi="Times New Roman" w:eastAsia="方正小标宋简体"/>
          <w:bCs/>
          <w:color w:val="auto"/>
          <w:sz w:val="44"/>
          <w:szCs w:val="44"/>
        </w:rPr>
        <w:t>医疗机构制剂配制监督管理办法（试行）</w:t>
      </w:r>
    </w:p>
    <w:p>
      <w:pPr>
        <w:spacing w:line="594" w:lineRule="exact"/>
        <w:jc w:val="center"/>
        <w:rPr>
          <w:rFonts w:ascii="Times New Roman" w:hAnsi="Times New Roman" w:eastAsia="方正小标宋简体"/>
          <w:color w:val="auto"/>
          <w:sz w:val="44"/>
          <w:szCs w:val="44"/>
        </w:rPr>
      </w:pPr>
    </w:p>
    <w:p>
      <w:pPr>
        <w:spacing w:line="594" w:lineRule="exact"/>
        <w:ind w:firstLine="640" w:firstLineChars="200"/>
        <w:jc w:val="both"/>
        <w:rPr>
          <w:rFonts w:ascii="Times New Roman" w:hAnsi="Times New Roman" w:eastAsia="楷体_GB2312"/>
          <w:color w:val="auto"/>
          <w:sz w:val="32"/>
          <w:szCs w:val="32"/>
        </w:rPr>
      </w:pPr>
      <w:r>
        <w:rPr>
          <w:rFonts w:ascii="Times New Roman" w:hAnsi="Times New Roman" w:eastAsia="楷体_GB2312"/>
          <w:color w:val="auto"/>
          <w:sz w:val="32"/>
          <w:szCs w:val="32"/>
        </w:rPr>
        <w:t>（2005年4月14日国家食品药品监督管理局令第18号公布）</w:t>
      </w:r>
    </w:p>
    <w:p>
      <w:pPr>
        <w:spacing w:line="594" w:lineRule="exact"/>
        <w:jc w:val="center"/>
        <w:rPr>
          <w:rFonts w:ascii="Times New Roman" w:hAnsi="Times New Roman"/>
          <w:color w:val="auto"/>
        </w:rPr>
      </w:pPr>
    </w:p>
    <w:p>
      <w:pPr>
        <w:numPr>
          <w:ilvl w:val="0"/>
          <w:numId w:val="0"/>
        </w:numPr>
        <w:spacing w:line="594" w:lineRule="exact"/>
        <w:ind w:leftChars="0"/>
        <w:jc w:val="center"/>
        <w:rPr>
          <w:rFonts w:ascii="Times New Roman" w:hAnsi="Times New Roman" w:eastAsia="黑体"/>
          <w:color w:val="auto"/>
          <w:sz w:val="32"/>
          <w:szCs w:val="32"/>
        </w:rPr>
      </w:pPr>
      <w:r>
        <w:rPr>
          <w:rFonts w:hint="eastAsia" w:hAnsi="黑体" w:eastAsia="黑体"/>
          <w:color w:val="auto"/>
          <w:sz w:val="32"/>
          <w:szCs w:val="32"/>
          <w:lang w:val="en-US" w:eastAsia="zh-CN"/>
        </w:rPr>
        <w:t xml:space="preserve">第一章  </w:t>
      </w:r>
      <w:r>
        <w:rPr>
          <w:rFonts w:ascii="Times New Roman" w:hAnsi="黑体" w:eastAsia="黑体"/>
          <w:color w:val="auto"/>
          <w:sz w:val="32"/>
          <w:szCs w:val="32"/>
        </w:rPr>
        <w:t>总</w:t>
      </w:r>
      <w:r>
        <w:rPr>
          <w:rFonts w:hint="eastAsia" w:hAnsi="黑体" w:eastAsia="黑体"/>
          <w:color w:val="auto"/>
          <w:sz w:val="32"/>
          <w:szCs w:val="32"/>
          <w:lang w:val="en-US" w:eastAsia="zh-CN"/>
        </w:rPr>
        <w:t xml:space="preserve">    </w:t>
      </w:r>
      <w:r>
        <w:rPr>
          <w:rFonts w:ascii="Times New Roman" w:hAnsi="黑体" w:eastAsia="黑体"/>
          <w:color w:val="auto"/>
          <w:sz w:val="32"/>
          <w:szCs w:val="32"/>
        </w:rPr>
        <w:t>则</w:t>
      </w:r>
    </w:p>
    <w:p>
      <w:pPr>
        <w:spacing w:line="594" w:lineRule="exact"/>
        <w:ind w:left="1320"/>
        <w:rPr>
          <w:rFonts w:ascii="Times New Roman" w:hAnsi="Times New Roman" w:eastAsia="黑体"/>
          <w:color w:val="auto"/>
          <w:sz w:val="32"/>
          <w:szCs w:val="32"/>
        </w:rPr>
      </w:pPr>
    </w:p>
    <w:p>
      <w:pPr>
        <w:spacing w:line="594" w:lineRule="exact"/>
        <w:ind w:firstLine="640" w:firstLineChars="200"/>
        <w:rPr>
          <w:rFonts w:ascii="Times New Roman" w:hAnsi="Times New Roman" w:eastAsia="仿宋_GB2312"/>
          <w:color w:val="auto"/>
          <w:sz w:val="32"/>
          <w:szCs w:val="32"/>
        </w:rPr>
      </w:pPr>
      <w:r>
        <w:rPr>
          <w:rFonts w:ascii="Times New Roman" w:hAnsi="黑体" w:eastAsia="黑体"/>
          <w:color w:val="auto"/>
          <w:sz w:val="32"/>
          <w:szCs w:val="32"/>
        </w:rPr>
        <w:t>第一条</w:t>
      </w:r>
      <w:r>
        <w:rPr>
          <w:rFonts w:ascii="Times New Roman" w:hAnsi="Times New Roman" w:eastAsia="仿宋"/>
          <w:color w:val="auto"/>
          <w:sz w:val="32"/>
          <w:szCs w:val="32"/>
        </w:rPr>
        <w:t>　</w:t>
      </w:r>
      <w:r>
        <w:rPr>
          <w:rFonts w:ascii="Times New Roman" w:hAnsi="Times New Roman" w:eastAsia="仿宋_GB2312"/>
          <w:color w:val="auto"/>
          <w:sz w:val="32"/>
          <w:szCs w:val="32"/>
        </w:rPr>
        <w:t>为加强医疗机构制剂配制的监督管理，根据《中华人民共和国药品管理法》（以下简称《药品管理法》）、《中华人民共和国药品管理法实施条例》（以下简称《药品管理法实施条例》）的规定，制定本办法。</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第二条　</w:t>
      </w:r>
      <w:r>
        <w:rPr>
          <w:rFonts w:ascii="Times New Roman" w:hAnsi="Times New Roman" w:eastAsia="仿宋_GB2312"/>
          <w:color w:val="auto"/>
          <w:sz w:val="32"/>
          <w:szCs w:val="32"/>
        </w:rPr>
        <w:t>医疗机构制剂的配制及其监督管理适用本办法。</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第三条　</w:t>
      </w:r>
      <w:r>
        <w:rPr>
          <w:rFonts w:ascii="Times New Roman" w:hAnsi="Times New Roman" w:eastAsia="仿宋_GB2312"/>
          <w:color w:val="auto"/>
          <w:sz w:val="32"/>
          <w:szCs w:val="32"/>
        </w:rPr>
        <w:t>医疗机构制剂配制监督管理是指（食品）药品监督管理部门依法对医疗机构制剂配制条件和配制过程等进行审查、许可、检查的监督管理活动。</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第四条　</w:t>
      </w:r>
      <w:r>
        <w:rPr>
          <w:rFonts w:ascii="Times New Roman" w:hAnsi="Times New Roman" w:eastAsia="仿宋_GB2312"/>
          <w:color w:val="auto"/>
          <w:sz w:val="32"/>
          <w:szCs w:val="32"/>
        </w:rPr>
        <w:t>国家食品药品监督管理局负责全国医疗机构制剂配制的监督管理工作。</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省、自治区、直辖市（食品）药品监督管理部门负责本辖区医疗机构制剂配制的监督管理工作。</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第五条　</w:t>
      </w:r>
      <w:r>
        <w:rPr>
          <w:rFonts w:ascii="Times New Roman" w:hAnsi="Times New Roman" w:eastAsia="仿宋_GB2312"/>
          <w:color w:val="auto"/>
          <w:sz w:val="32"/>
          <w:szCs w:val="32"/>
        </w:rPr>
        <w:t>医疗机构配制制剂应当遵守《医疗机构制剂配制质量管理规范》。</w:t>
      </w:r>
    </w:p>
    <w:p>
      <w:pPr>
        <w:spacing w:line="594" w:lineRule="exact"/>
        <w:rPr>
          <w:rFonts w:ascii="Times New Roman" w:hAnsi="Times New Roman" w:eastAsia="仿宋"/>
          <w:color w:val="auto"/>
          <w:sz w:val="32"/>
          <w:szCs w:val="32"/>
        </w:rPr>
      </w:pPr>
    </w:p>
    <w:p>
      <w:pPr>
        <w:numPr>
          <w:ilvl w:val="0"/>
          <w:numId w:val="0"/>
        </w:numPr>
        <w:spacing w:line="594" w:lineRule="exact"/>
        <w:ind w:leftChars="0"/>
        <w:jc w:val="center"/>
        <w:rPr>
          <w:rFonts w:ascii="Times New Roman" w:hAnsi="Times New Roman" w:eastAsia="黑体"/>
          <w:color w:val="auto"/>
          <w:sz w:val="32"/>
          <w:szCs w:val="32"/>
        </w:rPr>
      </w:pPr>
      <w:r>
        <w:rPr>
          <w:rFonts w:hint="eastAsia" w:hAnsi="黑体" w:eastAsia="黑体"/>
          <w:color w:val="auto"/>
          <w:sz w:val="32"/>
          <w:szCs w:val="32"/>
          <w:lang w:val="en-US" w:eastAsia="zh-CN"/>
        </w:rPr>
        <w:t xml:space="preserve">第二章  </w:t>
      </w:r>
      <w:r>
        <w:rPr>
          <w:rFonts w:ascii="Times New Roman" w:hAnsi="黑体" w:eastAsia="黑体"/>
          <w:color w:val="auto"/>
          <w:sz w:val="32"/>
          <w:szCs w:val="32"/>
        </w:rPr>
        <w:t>医疗机构设立制剂室的许可</w:t>
      </w:r>
    </w:p>
    <w:p>
      <w:pPr>
        <w:spacing w:line="594" w:lineRule="exact"/>
        <w:ind w:left="1320"/>
        <w:rPr>
          <w:rFonts w:ascii="Times New Roman" w:hAnsi="Times New Roman" w:eastAsia="黑体"/>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第六条　</w:t>
      </w:r>
      <w:r>
        <w:rPr>
          <w:rFonts w:ascii="Times New Roman" w:hAnsi="Times New Roman" w:eastAsia="仿宋_GB2312"/>
          <w:color w:val="auto"/>
          <w:sz w:val="32"/>
          <w:szCs w:val="32"/>
        </w:rPr>
        <w:t>医疗机构配制制剂，必须具有能够保证制剂质量的人员、设施、检验仪器、卫生条件和管理制度。</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第七条　</w:t>
      </w:r>
      <w:r>
        <w:rPr>
          <w:rFonts w:ascii="Times New Roman" w:hAnsi="Times New Roman" w:eastAsia="仿宋_GB2312"/>
          <w:color w:val="auto"/>
          <w:sz w:val="32"/>
          <w:szCs w:val="32"/>
        </w:rPr>
        <w:t>医疗机构设立制剂室，应当向所在地省、自治区、直辖市（食品）药品监督管理部门提交以下材料：</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Times New Roman" w:eastAsia="仿宋_GB2312"/>
          <w:color w:val="auto"/>
          <w:sz w:val="32"/>
          <w:szCs w:val="32"/>
        </w:rPr>
        <w:t>（一）《医疗机构制剂许可证申请表》（见附件1）；</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（二）实施《医疗机构制剂配制质量管理规范》自查报告；</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（三）医疗机构的基本情况及《医疗机构执业许可证》副本复印件；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（四）所在地省、自治区、直辖市卫生行政部门的审核同意意见；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（五）拟办制剂室的基本情况，包括制剂室的投资规模、占地面积、周围环境、基础设施等条件说明，并提供医疗机构总平面布局图、制剂室总平面布局图（标明空气洁净度等级）；</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制剂室负责人、药检室负责人、制剂质量管理组织负责人简历（包括姓名、年龄、性别、学历、所学专业、职务、职称、原从事药学工作年限等）及专业技术人员占制剂室工作人员的比例；</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制剂室负责人、药检室负责人、制剂质量管理组织负责人应当为本单位在职专业人员，且制剂室负责人和药检室负责人不得互相兼任；</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（六）拟配制剂型、配制能力、品种、规格；</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（七）配制剂型的工艺流程图、质量标准（或草案）；</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（八）主要配制设备、检测仪器目录；</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（九）制剂配制管理、质量管理文件目录。</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第八条　</w:t>
      </w:r>
      <w:r>
        <w:rPr>
          <w:rFonts w:ascii="Times New Roman" w:hAnsi="Times New Roman" w:eastAsia="仿宋_GB2312"/>
          <w:color w:val="auto"/>
          <w:sz w:val="32"/>
          <w:szCs w:val="32"/>
        </w:rPr>
        <w:t>申请人应当对其申请材料的真实性负责。</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第九条　</w:t>
      </w:r>
      <w:r>
        <w:rPr>
          <w:rFonts w:ascii="Times New Roman" w:hAnsi="Times New Roman" w:eastAsia="仿宋_GB2312"/>
          <w:color w:val="auto"/>
          <w:sz w:val="32"/>
          <w:szCs w:val="32"/>
        </w:rPr>
        <w:t>省、自治区、直辖市（食品）药品监督管理部门收到申请后，应当根据下列情况分别作出处理：</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（一）申请事项依法不属于本部门职权范围的，应当即时作出不予受理的决定，并告知申请人向有关行政机关申请；</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（二）申请材料存在可以当场更正的错误的，应当允许申请人当场更正；</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（三）申请材料不齐全或者不符合形式审查要求的，应当当场或者在5个工作日内发给申请人《补正材料通知书》，一次性告知申请人需要补正的全部内容，逾期不告知的，自收到申请材料之日起即为受理；</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（四）申请材料齐全、符合形式审查要求，或者申请人按照要求提交全部补正材料的，予以受理。</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省、自治区、直辖市（食品）药品监督管理部门受理或者不受理《医疗机构制剂许可证》申请的，应当出具加盖本部门受理专用印章并注明日期的《受理通知书》或者《不予受理通知书》。</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第十条　</w:t>
      </w:r>
      <w:r>
        <w:rPr>
          <w:rFonts w:ascii="Times New Roman" w:hAnsi="Times New Roman" w:eastAsia="仿宋_GB2312"/>
          <w:color w:val="auto"/>
          <w:sz w:val="32"/>
          <w:szCs w:val="32"/>
        </w:rPr>
        <w:t>省、自治区、直辖市（食品）药品监督管理部门应当自收到申请之日起30个工作日内，按照国家食品药品监督管理局制定的《医疗机构制剂许可证验收标准》组织验收。验收合格的，予以批准，并自批准决定作出之日起10个工作日内向申请人核发《医疗机构制剂许可证》；验收不合格的，作出不予批准的决定，书面通知申请人并说明理由，同时告知申请人享有依法申请行政复议或者提起行政诉讼的权利。</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省、自治区、直辖市（食品）药品监督管理部门验收合格后，应当自颁发《医疗机构制剂许可证》之日起20个工作日内，将有关情况报国家食品药品监督管理局备案。</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第十一条　</w:t>
      </w:r>
      <w:r>
        <w:rPr>
          <w:rFonts w:ascii="Times New Roman" w:hAnsi="Times New Roman" w:eastAsia="仿宋_GB2312"/>
          <w:color w:val="auto"/>
          <w:sz w:val="32"/>
          <w:szCs w:val="32"/>
        </w:rPr>
        <w:t>省、自治区、直辖市（食品）药品监督管理部门应当在办公场所公示申请《医疗机构制剂许可证》所需的事项、依据、条件、期限、需要提交的全部材料的目录和申请书示范文本等。</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省、自治区、直辖市（食品）药品监督管理部门颁发《医疗机构制剂许可证》的有关决定，应当予以公开，公众有权查阅。</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第十二条　</w:t>
      </w:r>
      <w:r>
        <w:rPr>
          <w:rFonts w:ascii="Times New Roman" w:hAnsi="Times New Roman" w:eastAsia="仿宋_GB2312"/>
          <w:color w:val="auto"/>
          <w:sz w:val="32"/>
          <w:szCs w:val="32"/>
        </w:rPr>
        <w:t>省、自治区、直辖市（食品）药品监督管理部门在对医疗机构制剂室开办申请进行审查时，应当公示审批过程和审批结果。申请人和利害关系人可以对直接关系其重大利益的事项提交书面意见进行陈述和申辩。</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第十三条　</w:t>
      </w:r>
      <w:r>
        <w:rPr>
          <w:rFonts w:ascii="Times New Roman" w:hAnsi="Times New Roman" w:eastAsia="仿宋_GB2312"/>
          <w:color w:val="auto"/>
          <w:sz w:val="32"/>
          <w:szCs w:val="32"/>
        </w:rPr>
        <w:t>医疗机构设立制剂室的申请，直接涉及申请人与他人之间重大利益关系的，省、自治区、直辖市（食品）药品监督管理部门应当告知申请人、利害关系人享有申请听证的权利。</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在核发《医疗机构制剂许可证》的过程中，省、自治区、直辖市（食品）药品监督管理部门认为涉及公共利益的重大许可事项，应当向社会公告，并举行听证。</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第十四条　</w:t>
      </w:r>
      <w:r>
        <w:rPr>
          <w:rFonts w:ascii="Times New Roman" w:hAnsi="Times New Roman" w:eastAsia="仿宋_GB2312"/>
          <w:color w:val="auto"/>
          <w:sz w:val="32"/>
          <w:szCs w:val="32"/>
        </w:rPr>
        <w:t>医疗机构不得与其他单位共用配制场所、配制设备及检验设施等。</w:t>
      </w:r>
    </w:p>
    <w:p>
      <w:pPr>
        <w:spacing w:line="594" w:lineRule="exact"/>
        <w:rPr>
          <w:rFonts w:ascii="Times New Roman" w:hAnsi="Times New Roman" w:eastAsia="仿宋"/>
          <w:color w:val="auto"/>
          <w:sz w:val="32"/>
          <w:szCs w:val="32"/>
        </w:rPr>
      </w:pPr>
    </w:p>
    <w:p>
      <w:pPr>
        <w:spacing w:line="594" w:lineRule="exact"/>
        <w:jc w:val="center"/>
        <w:rPr>
          <w:rFonts w:ascii="Times New Roman" w:hAnsi="Times New Roman" w:eastAsia="黑体"/>
          <w:color w:val="auto"/>
          <w:sz w:val="32"/>
          <w:szCs w:val="32"/>
        </w:rPr>
      </w:pPr>
      <w:r>
        <w:rPr>
          <w:rFonts w:ascii="Times New Roman" w:hAnsi="黑体" w:eastAsia="黑体"/>
          <w:color w:val="auto"/>
          <w:sz w:val="32"/>
          <w:szCs w:val="32"/>
        </w:rPr>
        <w:t>第三章</w:t>
      </w:r>
      <w:r>
        <w:rPr>
          <w:rFonts w:hint="eastAsia" w:hAnsi="黑体" w:eastAsia="黑体"/>
          <w:color w:val="auto"/>
          <w:sz w:val="32"/>
          <w:szCs w:val="32"/>
          <w:lang w:val="en-US" w:eastAsia="zh-CN"/>
        </w:rPr>
        <w:t xml:space="preserve">  </w:t>
      </w:r>
      <w:r>
        <w:rPr>
          <w:rFonts w:ascii="Times New Roman" w:hAnsi="黑体" w:eastAsia="黑体"/>
          <w:color w:val="auto"/>
          <w:sz w:val="32"/>
          <w:szCs w:val="32"/>
        </w:rPr>
        <w:t>《医疗机构制剂许可证》的管理</w:t>
      </w:r>
    </w:p>
    <w:p>
      <w:pPr>
        <w:spacing w:line="594" w:lineRule="exact"/>
        <w:jc w:val="center"/>
        <w:rPr>
          <w:rFonts w:ascii="Times New Roman" w:hAnsi="Times New Roman" w:eastAsia="仿宋"/>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第十五条　</w:t>
      </w:r>
      <w:r>
        <w:rPr>
          <w:rFonts w:ascii="Times New Roman" w:hAnsi="Times New Roman" w:eastAsia="仿宋_GB2312"/>
          <w:color w:val="auto"/>
          <w:sz w:val="32"/>
          <w:szCs w:val="32"/>
        </w:rPr>
        <w:t>《医疗机构制剂许可证》分正本和副本。正、副本具有同等法律效力，有效期为5年。</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《医疗机构制剂许可证》格式由国家食品药品监督管理局统一规定。</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第十六条　</w:t>
      </w:r>
      <w:r>
        <w:rPr>
          <w:rFonts w:ascii="Times New Roman" w:hAnsi="Times New Roman" w:eastAsia="仿宋_GB2312"/>
          <w:color w:val="auto"/>
          <w:sz w:val="32"/>
          <w:szCs w:val="32"/>
        </w:rPr>
        <w:t>《医疗机构制剂许可证》是医疗机构配制制剂的法定凭证，应当载明证号、医疗机构名称、医疗机构类别、法定代表人、制剂室负责人、配制范围、注册地址、配制地址、发证机关、发证日期、有效期限等项目。其中由（食品）药品监督管理部门核准的许可事项为：制剂室负责人、配制地址、配制范围、有效期限。证号和配制范围按国家食品药品监督管理局规定的编号方法和制剂类别填写（见附件2、3）。</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w:t>
      </w:r>
      <w:r>
        <w:rPr>
          <w:rFonts w:ascii="Times New Roman" w:hAnsi="黑体" w:eastAsia="黑体"/>
          <w:color w:val="auto"/>
          <w:sz w:val="32"/>
          <w:szCs w:val="32"/>
        </w:rPr>
        <w:t>第十七条</w:t>
      </w:r>
      <w:r>
        <w:rPr>
          <w:rFonts w:ascii="Times New Roman" w:hAnsi="Times New Roman" w:eastAsia="仿宋_GB2312"/>
          <w:color w:val="auto"/>
          <w:sz w:val="32"/>
          <w:szCs w:val="32"/>
        </w:rPr>
        <w:t>　《医疗机构制剂许可证》变更分为许可事项变更和登记事项变更。</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许可事项变更是指制剂室负责人、配制地址、配制范围的变更。</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登记事项变更是指医疗机构名称、医疗机构类别、法定代表人、注册地址等事项的变更。</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第十八条　</w:t>
      </w:r>
      <w:r>
        <w:rPr>
          <w:rFonts w:ascii="Times New Roman" w:hAnsi="Times New Roman" w:eastAsia="仿宋_GB2312"/>
          <w:color w:val="auto"/>
          <w:sz w:val="32"/>
          <w:szCs w:val="32"/>
        </w:rPr>
        <w:t>医疗机构变更《医疗机构制剂许可证》许可事项的，在许可事项发生变更前30日，向原审核、批准机关申请变更登记。原发证机关应当自收到变更申请之日起15个工作日内作出准予变更或者不予变更的决定。</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医疗机构增加配制范围或者改变配制地址的，应当按本办法第七条的规定提交材料，经省、自治区、直辖市（食品）药品监督管理部门验收合格后，依照前款办理《医疗机构制剂许可证》变更登记。</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第十九条　</w:t>
      </w:r>
      <w:r>
        <w:rPr>
          <w:rFonts w:ascii="Times New Roman" w:hAnsi="Times New Roman" w:eastAsia="仿宋_GB2312"/>
          <w:color w:val="auto"/>
          <w:sz w:val="32"/>
          <w:szCs w:val="32"/>
        </w:rPr>
        <w:t>医疗机构变更登记事项的，应当在有关部门核准变更后30日内，向原发证机关申请《医疗机构制剂许可证》变更登记，原发证机关应当在收到变更申请之日起15个工作日内办理变更手续。</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第二十条　</w:t>
      </w:r>
      <w:r>
        <w:rPr>
          <w:rFonts w:ascii="Times New Roman" w:hAnsi="Times New Roman" w:eastAsia="仿宋_GB2312"/>
          <w:color w:val="auto"/>
          <w:sz w:val="32"/>
          <w:szCs w:val="32"/>
        </w:rPr>
        <w:t>《医疗机构制剂许可证》变更后，原发证机关应当在《医疗机构制剂许可证》副本上记录变更的内容和时间，并按变更后的内容重新核发《医疗机构制剂许可证》正本，收回原《医疗机构制剂许可证》正本。</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第二十一条　</w:t>
      </w:r>
      <w:r>
        <w:rPr>
          <w:rFonts w:ascii="Times New Roman" w:hAnsi="Times New Roman" w:eastAsia="仿宋_GB2312"/>
          <w:color w:val="auto"/>
          <w:sz w:val="32"/>
          <w:szCs w:val="32"/>
        </w:rPr>
        <w:t>《医疗机构制剂许可证》有效期届满需要继续配制制剂的，医疗机构应当在有效期届满前6个月，向原发证机关申请换发《医疗机构制剂许可证》。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原发证机关结合医疗机构遵守法律法规、《医疗机构制剂配制质量管理规范》和质量体系运行情况，按照本办法关于设立医疗机构制剂室的条件和程序进行审查，在《医疗机构制剂许可证》有效期届满前作出是否准予换证的决定。符合规定准予换证的，收回原证，换发新证；不符合规定的，作出不予换证的书面决定，并说明理由，同时告知申请人享有依法申请行政复议或者提起行政诉讼的权利；逾期未作出决定的，视为同意换证，并办理相应手续。</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第二十二条　</w:t>
      </w:r>
      <w:r>
        <w:rPr>
          <w:rFonts w:ascii="Times New Roman" w:hAnsi="Times New Roman" w:eastAsia="仿宋_GB2312"/>
          <w:color w:val="auto"/>
          <w:sz w:val="32"/>
          <w:szCs w:val="32"/>
        </w:rPr>
        <w:t>医疗机构终止配制制剂或者关闭的，由原发证机关缴销《医疗机构制剂许可证》，同时报国家食品药品监督管理局备案。</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第二十三条　</w:t>
      </w:r>
      <w:r>
        <w:rPr>
          <w:rFonts w:ascii="Times New Roman" w:hAnsi="Times New Roman" w:eastAsia="仿宋_GB2312"/>
          <w:color w:val="auto"/>
          <w:sz w:val="32"/>
          <w:szCs w:val="32"/>
        </w:rPr>
        <w:t>遗失《医疗机构制剂许可证》的，持证单位应当在原发证机关指定的媒体上登载遗失声明并同时向原发证机关申请补发。遗失声明登载满1个月后原发证机关在10个工作日内补发《医疗机构制剂许可证》。</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第二十四条　</w:t>
      </w:r>
      <w:r>
        <w:rPr>
          <w:rFonts w:ascii="Times New Roman" w:hAnsi="Times New Roman" w:eastAsia="仿宋_GB2312"/>
          <w:color w:val="auto"/>
          <w:sz w:val="32"/>
          <w:szCs w:val="32"/>
        </w:rPr>
        <w:t>医疗机构制剂室的药检室负责人及质量管理组织负责人发生变更的，应当在变更之日起30日内将变更人员简历及学历证明等有关情况报所在地省、自治区、直辖市（食品）药品监督管理部门备案。</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第二十五条　</w:t>
      </w:r>
      <w:r>
        <w:rPr>
          <w:rFonts w:ascii="Times New Roman" w:hAnsi="Times New Roman" w:eastAsia="仿宋_GB2312"/>
          <w:color w:val="auto"/>
          <w:sz w:val="32"/>
          <w:szCs w:val="32"/>
        </w:rPr>
        <w:t>医疗机构制剂室的关键配制设施等条件发生变化的，应当自发生变化之日起30日内报所在地省、自治区、直辖市（食品）药品监督管理部门备案，省、自治区、直辖市（食品）药品监督管理部门根据需要进行检查。</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第二十六条　</w:t>
      </w:r>
      <w:r>
        <w:rPr>
          <w:rFonts w:ascii="Times New Roman" w:hAnsi="Times New Roman" w:eastAsia="仿宋_GB2312"/>
          <w:color w:val="auto"/>
          <w:sz w:val="32"/>
          <w:szCs w:val="32"/>
        </w:rPr>
        <w:t>省、自治区、直辖市（食品）药品监督管理部门应当将上年度《医疗机构制剂许可证》核发、变更、换发、缴销、补办等办理情况，在每年3月底前汇总报国家食品药品监督管理局。</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第二十七条　</w:t>
      </w:r>
      <w:r>
        <w:rPr>
          <w:rFonts w:ascii="Times New Roman" w:hAnsi="Times New Roman" w:eastAsia="仿宋_GB2312"/>
          <w:color w:val="auto"/>
          <w:sz w:val="32"/>
          <w:szCs w:val="32"/>
        </w:rPr>
        <w:t>任何单位和个人不得伪造、变造、买卖、出租、出借《医疗机构制剂许可证》。</w:t>
      </w:r>
    </w:p>
    <w:p>
      <w:pPr>
        <w:spacing w:line="594" w:lineRule="exact"/>
        <w:rPr>
          <w:rFonts w:ascii="Times New Roman" w:hAnsi="Times New Roman" w:eastAsia="仿宋"/>
          <w:color w:val="auto"/>
          <w:sz w:val="32"/>
          <w:szCs w:val="32"/>
        </w:rPr>
      </w:pPr>
    </w:p>
    <w:p>
      <w:pPr>
        <w:spacing w:line="594" w:lineRule="exact"/>
        <w:jc w:val="center"/>
        <w:rPr>
          <w:rFonts w:ascii="Times New Roman" w:hAnsi="Times New Roman" w:eastAsia="黑体"/>
          <w:color w:val="auto"/>
          <w:sz w:val="32"/>
          <w:szCs w:val="32"/>
        </w:rPr>
      </w:pPr>
      <w:r>
        <w:rPr>
          <w:rFonts w:ascii="Times New Roman" w:hAnsi="黑体" w:eastAsia="黑体"/>
          <w:color w:val="auto"/>
          <w:sz w:val="32"/>
          <w:szCs w:val="32"/>
        </w:rPr>
        <w:t>第四章　</w:t>
      </w:r>
      <w:r>
        <w:rPr>
          <w:rFonts w:hint="eastAsia" w:eastAsia="黑体"/>
          <w:color w:val="auto"/>
          <w:sz w:val="32"/>
          <w:szCs w:val="32"/>
          <w:lang w:eastAsia="zh-CN"/>
        </w:rPr>
        <w:t>“</w:t>
      </w:r>
      <w:r>
        <w:rPr>
          <w:rFonts w:ascii="Times New Roman" w:hAnsi="黑体" w:eastAsia="黑体"/>
          <w:color w:val="auto"/>
          <w:sz w:val="32"/>
          <w:szCs w:val="32"/>
        </w:rPr>
        <w:t>医院</w:t>
      </w:r>
      <w:r>
        <w:rPr>
          <w:rFonts w:hint="eastAsia" w:eastAsia="黑体"/>
          <w:color w:val="auto"/>
          <w:sz w:val="32"/>
          <w:szCs w:val="32"/>
          <w:lang w:eastAsia="zh-CN"/>
        </w:rPr>
        <w:t>”</w:t>
      </w:r>
      <w:r>
        <w:rPr>
          <w:rFonts w:ascii="Times New Roman" w:hAnsi="黑体" w:eastAsia="黑体"/>
          <w:color w:val="auto"/>
          <w:sz w:val="32"/>
          <w:szCs w:val="32"/>
        </w:rPr>
        <w:t>类别医疗机构中药制剂委托配制的管理</w:t>
      </w:r>
    </w:p>
    <w:p>
      <w:pPr>
        <w:spacing w:line="594" w:lineRule="exact"/>
        <w:jc w:val="center"/>
        <w:rPr>
          <w:rFonts w:ascii="Times New Roman" w:hAnsi="Times New Roman" w:eastAsia="黑体"/>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第二十八条　</w:t>
      </w:r>
      <w:r>
        <w:rPr>
          <w:rFonts w:ascii="Times New Roman" w:hAnsi="Times New Roman" w:eastAsia="仿宋_GB2312"/>
          <w:color w:val="auto"/>
          <w:sz w:val="32"/>
          <w:szCs w:val="32"/>
        </w:rPr>
        <w:t>经省、自治区、直辖市（食品）药品监督管理部门批准，具有《医疗机构制剂许可证》且取得制剂批准文号，并属于</w:t>
      </w:r>
      <w:r>
        <w:rPr>
          <w:rFonts w:hint="eastAsia" w:eastAsia="仿宋_GB2312"/>
          <w:color w:val="auto"/>
          <w:sz w:val="32"/>
          <w:szCs w:val="32"/>
          <w:lang w:eastAsia="zh-CN"/>
        </w:rPr>
        <w:t>“</w:t>
      </w:r>
      <w:r>
        <w:rPr>
          <w:rFonts w:ascii="Times New Roman" w:hAnsi="Times New Roman" w:eastAsia="仿宋_GB2312"/>
          <w:color w:val="auto"/>
          <w:sz w:val="32"/>
          <w:szCs w:val="32"/>
        </w:rPr>
        <w:t>医院</w:t>
      </w:r>
      <w:r>
        <w:rPr>
          <w:rFonts w:hint="eastAsia" w:eastAsia="仿宋_GB2312"/>
          <w:color w:val="auto"/>
          <w:sz w:val="32"/>
          <w:szCs w:val="32"/>
          <w:lang w:eastAsia="zh-CN"/>
        </w:rPr>
        <w:t>”</w:t>
      </w:r>
      <w:r>
        <w:rPr>
          <w:rFonts w:ascii="Times New Roman" w:hAnsi="Times New Roman" w:eastAsia="仿宋_GB2312"/>
          <w:color w:val="auto"/>
          <w:sz w:val="32"/>
          <w:szCs w:val="32"/>
        </w:rPr>
        <w:t>类别的医疗机构的中药制剂，可以委托本省、自治区、直辖市内取得《医疗机构制剂许可证》的医疗机构或者取得《药品生产质量管理规范》认证证书的药品生产企业配制制剂。委托配制的制剂剂型应当与受托方持有的《医疗机构制剂许可证》或者《药品生产质量管理规范》认证证书所载明的范围一致。</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未取得《医疗机构制剂许可证》的</w:t>
      </w:r>
      <w:r>
        <w:rPr>
          <w:rFonts w:hint="eastAsia" w:eastAsia="仿宋_GB2312"/>
          <w:color w:val="auto"/>
          <w:sz w:val="32"/>
          <w:szCs w:val="32"/>
          <w:lang w:eastAsia="zh-CN"/>
        </w:rPr>
        <w:t>“</w:t>
      </w:r>
      <w:r>
        <w:rPr>
          <w:rFonts w:ascii="Times New Roman" w:hAnsi="Times New Roman" w:eastAsia="仿宋_GB2312"/>
          <w:color w:val="auto"/>
          <w:sz w:val="32"/>
          <w:szCs w:val="32"/>
        </w:rPr>
        <w:t>医院</w:t>
      </w:r>
      <w:r>
        <w:rPr>
          <w:rFonts w:hint="eastAsia" w:eastAsia="仿宋_GB2312"/>
          <w:color w:val="auto"/>
          <w:sz w:val="32"/>
          <w:szCs w:val="32"/>
          <w:lang w:eastAsia="zh-CN"/>
        </w:rPr>
        <w:t>”</w:t>
      </w:r>
      <w:r>
        <w:rPr>
          <w:rFonts w:ascii="Times New Roman" w:hAnsi="Times New Roman" w:eastAsia="仿宋_GB2312"/>
          <w:color w:val="auto"/>
          <w:sz w:val="32"/>
          <w:szCs w:val="32"/>
        </w:rPr>
        <w:t>类别的医疗机构，在申请中药制剂批准文号时申请委托配制的，应当按照《医疗机构制剂注册管理办法》的相关规定办理。</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第二十九条　</w:t>
      </w:r>
      <w:r>
        <w:rPr>
          <w:rFonts w:ascii="Times New Roman" w:hAnsi="Times New Roman" w:eastAsia="仿宋_GB2312"/>
          <w:color w:val="auto"/>
          <w:sz w:val="32"/>
          <w:szCs w:val="32"/>
        </w:rPr>
        <w:t>委托方按照本办法第三十三条的规定向所在地省、自治区、直辖市（食品）药品监督管理部门提交中药制剂委托配制的申请材料；省、自治区、直辖市（食品）药品监督管理部门参照本办法第九条的规定进行受理。</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第三十条　</w:t>
      </w:r>
      <w:r>
        <w:rPr>
          <w:rFonts w:ascii="Times New Roman" w:hAnsi="Times New Roman" w:eastAsia="仿宋_GB2312"/>
          <w:color w:val="auto"/>
          <w:sz w:val="32"/>
          <w:szCs w:val="32"/>
        </w:rPr>
        <w:t>省、自治区、直辖市（食品）药品监督管理部门应当自申请受理之日起20个工作日内，按照本章规定的条件对申请进行审查，并作出决定。</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经审查符合规定的，予以批准，并自书面批准决定作出之日起10个工作日内向委托方发放《医疗机构中药制剂委托配制批件》；不符合规定的，书面通知委托方并说明理由，同时告知其享有依法申请行政复议或者提起行政诉讼的权利。</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第三十一条　</w:t>
      </w:r>
      <w:r>
        <w:rPr>
          <w:rFonts w:ascii="Times New Roman" w:hAnsi="Times New Roman" w:eastAsia="仿宋_GB2312"/>
          <w:color w:val="auto"/>
          <w:sz w:val="32"/>
          <w:szCs w:val="32"/>
        </w:rPr>
        <w:t>《医疗机构中药制剂委托配制批件》有效期不得超过该制剂批准证明文件载明的有效期限。在《医疗机构中药制剂委托配制批件》有效期内，委托方不得再行委托其他单位配制该制剂。</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第三十二条　</w:t>
      </w:r>
      <w:r>
        <w:rPr>
          <w:rFonts w:ascii="Times New Roman" w:hAnsi="Times New Roman" w:eastAsia="仿宋_GB2312"/>
          <w:color w:val="auto"/>
          <w:sz w:val="32"/>
          <w:szCs w:val="32"/>
        </w:rPr>
        <w:t>《医疗机构中药制剂委托配制批件》有效期届满，需要继续委托配制的，委托方应当在有效期届满30日前办理委托配制的续展手续。</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委托配制合同终止的，《医疗机构中药制剂委托配制批件》自动废止。</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第三十三条　</w:t>
      </w:r>
      <w:r>
        <w:rPr>
          <w:rFonts w:ascii="Times New Roman" w:hAnsi="Times New Roman" w:eastAsia="仿宋_GB2312"/>
          <w:color w:val="auto"/>
          <w:sz w:val="32"/>
          <w:szCs w:val="32"/>
        </w:rPr>
        <w:t>申请制剂委托配制应当提供以下资料：</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（一）《医疗机构中药制剂委托配制申请表》（见附件4）；</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（二）委托方的《医疗机构制剂许可证》、制剂批准证明文件复印件；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（三）受托方的《药品生产许可证》、《药品生产质量管理规范》认证证书或者《医疗机构制剂许可证》复印件；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（四）委托配制的制剂质量标准、配制工艺；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auto"/>
          <w:sz w:val="32"/>
          <w:szCs w:val="32"/>
        </w:rPr>
      </w:pPr>
      <w:r>
        <w:rPr>
          <w:rFonts w:ascii="Times New Roman" w:hAnsi="Times New Roman" w:eastAsia="仿宋_GB2312"/>
          <w:color w:val="auto"/>
          <w:sz w:val="32"/>
          <w:szCs w:val="32"/>
        </w:rPr>
        <w:t>（五）委托配制的制剂原最小包装、标签和使用说明书实样；</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（六）委托配制的制剂拟采用的包装、标签和说明书式样及色标；</w:t>
      </w:r>
      <w:bookmarkStart w:id="0" w:name="_GoBack"/>
      <w:bookmarkEnd w:id="0"/>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（七）委托配制合同；</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（八）受托方所在地设区的市级（食品）药品监督管理机构组织对受托方技术人员，厂房（制剂室）、设施、设备等生产条件和能力，以及质检机构、检测设备等质量保证体系考核的意见。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委托配制申请续展应当提供以下资料：</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（一）委托方的《医疗机构制剂许可证》、制剂批准证明文件复印件；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（二）受托方的《药品生产许可证》、《药品生产质量管理规范》认证证书或者《医疗机构制剂许可证》复印件；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（三）前次批准的《医疗机构中药制剂委托配制批件》；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（四）前次委托配制期间，配制及制剂质量情况的总结；</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（五）与前次《医疗机构中药制剂委托配制批件》发生变化的证明文件。</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第三十四条　</w:t>
      </w:r>
      <w:r>
        <w:rPr>
          <w:rFonts w:ascii="Times New Roman" w:hAnsi="Times New Roman" w:eastAsia="仿宋_GB2312"/>
          <w:color w:val="auto"/>
          <w:sz w:val="32"/>
          <w:szCs w:val="32"/>
        </w:rPr>
        <w:t>委托配制制剂的质量标准应当执行原批准的质量标准，其处方、工艺、包装规格、标签及使用说明书等应当与原批准的内容相同。在委托配制的制剂包装、标签和说明书上，应当标明委托单位和受托单位名称、受托单位生产地址。</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委托单位取得《医疗机构中药制剂委托配制批件》后，应当向所在地的设区的市级以上药品检验所报送委托配制的前三批制剂，经检验合格后方可投入使用。</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第三十五条　</w:t>
      </w:r>
      <w:r>
        <w:rPr>
          <w:rFonts w:ascii="Times New Roman" w:hAnsi="Times New Roman" w:eastAsia="仿宋_GB2312"/>
          <w:color w:val="auto"/>
          <w:sz w:val="32"/>
          <w:szCs w:val="32"/>
        </w:rPr>
        <w:t>委托方对委托配制制剂的质量负责；受托方应当具备与配制该制剂相适应的配制与质量保证条件，按《药品生产质量管理规范》或者《医疗机构制剂配制质量管理规范》进行配制，向委托方出具批检验报告书，并按规定保存所有受托配制的文件和记录。</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第三十六条　</w:t>
      </w:r>
      <w:r>
        <w:rPr>
          <w:rFonts w:ascii="Times New Roman" w:hAnsi="Times New Roman" w:eastAsia="仿宋_GB2312"/>
          <w:color w:val="auto"/>
          <w:sz w:val="32"/>
          <w:szCs w:val="32"/>
        </w:rPr>
        <w:t>省、自治区、直辖市（食品）药品监督管理部门对制剂委托配制申请进行审查时，应当参照执行本办法第十一条至第十三条的有关规定。</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第三十七条　</w:t>
      </w:r>
      <w:r>
        <w:rPr>
          <w:rFonts w:ascii="Times New Roman" w:hAnsi="Times New Roman" w:eastAsia="仿宋_GB2312"/>
          <w:color w:val="auto"/>
          <w:sz w:val="32"/>
          <w:szCs w:val="32"/>
        </w:rPr>
        <w:t>省、自治区、直辖市（食品）药品监督管理部门应当将制剂委托配制的批准情况报国家食品药品监督管理局。</w:t>
      </w:r>
    </w:p>
    <w:p>
      <w:pPr>
        <w:spacing w:line="594" w:lineRule="exact"/>
        <w:rPr>
          <w:rFonts w:ascii="Times New Roman" w:hAnsi="Times New Roman" w:eastAsia="仿宋"/>
          <w:color w:val="auto"/>
          <w:sz w:val="32"/>
          <w:szCs w:val="32"/>
        </w:rPr>
      </w:pPr>
    </w:p>
    <w:p>
      <w:pPr>
        <w:spacing w:line="594" w:lineRule="exact"/>
        <w:jc w:val="center"/>
        <w:rPr>
          <w:rFonts w:ascii="Times New Roman" w:hAnsi="Times New Roman" w:eastAsia="黑体"/>
          <w:color w:val="auto"/>
          <w:sz w:val="32"/>
          <w:szCs w:val="32"/>
        </w:rPr>
      </w:pPr>
      <w:r>
        <w:rPr>
          <w:rFonts w:ascii="Times New Roman" w:hAnsi="黑体" w:eastAsia="黑体"/>
          <w:color w:val="auto"/>
          <w:sz w:val="32"/>
          <w:szCs w:val="32"/>
        </w:rPr>
        <w:t>第五章　监督检查</w:t>
      </w:r>
    </w:p>
    <w:p>
      <w:pPr>
        <w:spacing w:line="594" w:lineRule="exact"/>
        <w:jc w:val="center"/>
        <w:rPr>
          <w:rFonts w:ascii="Times New Roman" w:hAnsi="Times New Roman" w:eastAsia="黑体"/>
          <w:color w:val="auto"/>
          <w:sz w:val="32"/>
          <w:szCs w:val="32"/>
        </w:rPr>
      </w:pP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第三十八条　</w:t>
      </w:r>
      <w:r>
        <w:rPr>
          <w:rFonts w:ascii="Times New Roman" w:hAnsi="Times New Roman" w:eastAsia="仿宋_GB2312"/>
          <w:color w:val="auto"/>
          <w:sz w:val="32"/>
          <w:szCs w:val="32"/>
        </w:rPr>
        <w:t>本办法规定的监督检查的主要内容是医疗机构执行《医疗机构制剂配制质量管理规范》的情况、《医疗机构制剂许可证》换发的现场检查以及日常的监督检查。</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第三十九条　</w:t>
      </w:r>
      <w:r>
        <w:rPr>
          <w:rFonts w:ascii="Times New Roman" w:hAnsi="Times New Roman" w:eastAsia="仿宋_GB2312"/>
          <w:color w:val="auto"/>
          <w:sz w:val="32"/>
          <w:szCs w:val="32"/>
        </w:rPr>
        <w:t>省、自治区、直辖市（食品）药品监督管理部门负责本辖区内医疗机构制剂配制的监督检查工作，应当建立实施监督检查的运行机制和管理制度，确定设区的市级（食品）药品监督管理机构和县级（食品）药品监督管理机构的监督检查职责。</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Times New Roman" w:eastAsia="仿宋_GB2312"/>
          <w:color w:val="auto"/>
          <w:sz w:val="32"/>
          <w:szCs w:val="32"/>
        </w:rPr>
        <w:t>　国家食品药品监督管理局可以根据需要组织对医疗机构制剂配制进行监督检查，同时对省、自治区、直辖市（食品）药品监督管理部门的监督检查工作情况进行监督和抽查。</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第四十条　</w:t>
      </w:r>
      <w:r>
        <w:rPr>
          <w:rFonts w:ascii="Times New Roman" w:hAnsi="Times New Roman" w:eastAsia="仿宋_GB2312"/>
          <w:color w:val="auto"/>
          <w:sz w:val="32"/>
          <w:szCs w:val="32"/>
        </w:rPr>
        <w:t>各级（食品）药品监督管理部门组织监督检查时，应当制订检查方案，明确检查标准，如实记录现场检查情况，提出整改内容及整改期限，检查结果以书面形式告知被检查单位，并实施追踪检查。</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第四十一条　</w:t>
      </w:r>
      <w:r>
        <w:rPr>
          <w:rFonts w:ascii="Times New Roman" w:hAnsi="Times New Roman" w:eastAsia="仿宋_GB2312"/>
          <w:color w:val="auto"/>
          <w:sz w:val="32"/>
          <w:szCs w:val="32"/>
        </w:rPr>
        <w:t>监督检查时，医疗机构应当提供有关情况和材料：</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（一）实施《医疗机构制剂配制质量管理规范》自查情况；</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（二）《医疗机构执业许可证》、《医疗机构制剂许可证》；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（三）药检室和制剂质量管理组织负责人以及主要配制条件、配制设备的变更情况；</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（四）制剂室接受监督检查及整改落实情况；</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（五）不合格制剂被质量公报通告后的整改情况；</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（六）需要审查的其他材料。</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第四十二条　</w:t>
      </w:r>
      <w:r>
        <w:rPr>
          <w:rFonts w:ascii="Times New Roman" w:hAnsi="Times New Roman" w:eastAsia="仿宋_GB2312"/>
          <w:color w:val="auto"/>
          <w:sz w:val="32"/>
          <w:szCs w:val="32"/>
        </w:rPr>
        <w:t>监督检查完成后，（食品）药品监督管理部门在《医疗机构制剂许可证》副本上载明检查情况，并记载以下内容：</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（一）检查结论；</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（二）配制的制剂是否发生重大质量事故，是否有不合格制剂受到药品质量公报通告；</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（三）制剂室是否有违法配制行为及查处情况；</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（四）制剂室当年是否无配制制剂行为。</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第四十三条　</w:t>
      </w:r>
      <w:r>
        <w:rPr>
          <w:rFonts w:ascii="Times New Roman" w:hAnsi="Times New Roman" w:eastAsia="仿宋_GB2312"/>
          <w:color w:val="auto"/>
          <w:sz w:val="32"/>
          <w:szCs w:val="32"/>
        </w:rPr>
        <w:t>医疗机构制剂配制发生重大质量事故，必须立即报所在地省、自治区、直辖市（食品）药品监督管理部门和有关部门，省、自治区、直辖市（食品）药品监督管理局部门应当在24小时内报国家食品药品监督管理局。</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第四十四条　</w:t>
      </w:r>
      <w:r>
        <w:rPr>
          <w:rFonts w:ascii="Times New Roman" w:hAnsi="Times New Roman" w:eastAsia="仿宋_GB2312"/>
          <w:color w:val="auto"/>
          <w:sz w:val="32"/>
          <w:szCs w:val="32"/>
        </w:rPr>
        <w:t>（食品）药品监督管理部门实施监督检查，不得妨碍医疗机构的正常配制活动，不得索取或者收受医疗机构的财物，不得谋取其他利益。</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第四十五条　</w:t>
      </w:r>
      <w:r>
        <w:rPr>
          <w:rFonts w:ascii="Times New Roman" w:hAnsi="Times New Roman" w:eastAsia="仿宋_GB2312"/>
          <w:color w:val="auto"/>
          <w:sz w:val="32"/>
          <w:szCs w:val="32"/>
        </w:rPr>
        <w:t>任何单位和个人发现医疗机构进行违法配制的活动，有权向（食品）药品监督管理部门举报，接受举报的（食品）药品监督管理部门应当及时核实、处理。</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第四十六条　</w:t>
      </w:r>
      <w:r>
        <w:rPr>
          <w:rFonts w:ascii="Times New Roman" w:hAnsi="Times New Roman" w:eastAsia="仿宋_GB2312"/>
          <w:color w:val="auto"/>
          <w:sz w:val="32"/>
          <w:szCs w:val="32"/>
        </w:rPr>
        <w:t>有《中华人民共和国行政许可法》（以下简称《行政许可法》）第七十条情形之一的，原发证机关应当依法注销《医疗机构制剂许可证》。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省、自治区、直辖市（食品）药品监督管理部门注销《医疗机构制剂许可证》的，应当自注销之日起5个工作日内通知有关部门，并报国家食品药品监督管理局备案。</w:t>
      </w:r>
    </w:p>
    <w:p>
      <w:pPr>
        <w:spacing w:line="594" w:lineRule="exact"/>
        <w:rPr>
          <w:rFonts w:ascii="Times New Roman" w:hAnsi="Times New Roman" w:eastAsia="仿宋"/>
          <w:color w:val="auto"/>
          <w:sz w:val="32"/>
          <w:szCs w:val="32"/>
        </w:rPr>
      </w:pPr>
    </w:p>
    <w:p>
      <w:pPr>
        <w:spacing w:line="594" w:lineRule="exact"/>
        <w:jc w:val="center"/>
        <w:rPr>
          <w:rFonts w:ascii="Times New Roman" w:hAnsi="Times New Roman" w:eastAsia="黑体"/>
          <w:color w:val="auto"/>
          <w:sz w:val="32"/>
          <w:szCs w:val="32"/>
        </w:rPr>
      </w:pPr>
      <w:r>
        <w:rPr>
          <w:rFonts w:ascii="Times New Roman" w:hAnsi="黑体" w:eastAsia="黑体"/>
          <w:color w:val="auto"/>
          <w:sz w:val="32"/>
          <w:szCs w:val="32"/>
        </w:rPr>
        <w:t>第六章　法律责任</w:t>
      </w:r>
    </w:p>
    <w:p>
      <w:pPr>
        <w:spacing w:line="594" w:lineRule="exact"/>
        <w:jc w:val="center"/>
        <w:rPr>
          <w:rFonts w:ascii="Times New Roman" w:hAnsi="Times New Roman" w:eastAsia="仿宋"/>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第四十七条　</w:t>
      </w:r>
      <w:r>
        <w:rPr>
          <w:rFonts w:ascii="Times New Roman" w:hAnsi="Times New Roman" w:eastAsia="仿宋_GB2312"/>
          <w:color w:val="auto"/>
          <w:sz w:val="32"/>
          <w:szCs w:val="32"/>
        </w:rPr>
        <w:t>有《行政许可法》第六十九条规定情形的，国家食品药品监督管理局或者省、自治区、直辖市（食品）药品监督管理部门根据利害关系人的请求或者依据职权，可以撤销《医疗机构制剂许可证》。</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第四十八条　</w:t>
      </w:r>
      <w:r>
        <w:rPr>
          <w:rFonts w:ascii="Times New Roman" w:hAnsi="Times New Roman" w:eastAsia="仿宋_GB2312"/>
          <w:color w:val="auto"/>
          <w:sz w:val="32"/>
          <w:szCs w:val="32"/>
        </w:rPr>
        <w:t>申请人隐瞒有关情况或者提供虚假材料申请《医疗机构制剂许可证》的，省、自治区、直辖市（食品）药品监督管理部门不予受理或者不予批准，并给予警告，申请人在1年内不得再申请。</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申请人提供虚假材料取得《医疗机构制剂许可证》的，省、自治区、直辖市（食品）药品监督管理部门应当吊销其《医疗机构制剂许可证》，并处1万元以上3万元以下的罚款，申请人在5年内不得再申请。</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第四十九条　</w:t>
      </w:r>
      <w:r>
        <w:rPr>
          <w:rFonts w:ascii="Times New Roman" w:hAnsi="Times New Roman" w:eastAsia="仿宋_GB2312"/>
          <w:color w:val="auto"/>
          <w:sz w:val="32"/>
          <w:szCs w:val="32"/>
        </w:rPr>
        <w:t>未取得《医疗机构制剂许可证》配制制剂的，按《药品管理法》第七十三条的规定给予处罚。</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第五十条　</w:t>
      </w:r>
      <w:r>
        <w:rPr>
          <w:rFonts w:ascii="Times New Roman" w:hAnsi="Times New Roman" w:eastAsia="仿宋_GB2312"/>
          <w:color w:val="auto"/>
          <w:sz w:val="32"/>
          <w:szCs w:val="32"/>
        </w:rPr>
        <w:t>（食品）药品监督管理部门对不符合法定条件的单位发给《医疗机构制剂许可证》的，按《药品管理法》第九十四条规定给予处罚。</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第五十一条　</w:t>
      </w:r>
      <w:r>
        <w:rPr>
          <w:rFonts w:ascii="Times New Roman" w:hAnsi="Times New Roman" w:eastAsia="仿宋_GB2312"/>
          <w:color w:val="auto"/>
          <w:sz w:val="32"/>
          <w:szCs w:val="32"/>
        </w:rPr>
        <w:t>未经批准擅自委托或者接受委托配制制剂的，对委托方和受托方均依照《药品管理法》第七十四条的规定给予处罚。</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第五十二条　</w:t>
      </w:r>
      <w:r>
        <w:rPr>
          <w:rFonts w:ascii="Times New Roman" w:hAnsi="Times New Roman" w:eastAsia="仿宋_GB2312"/>
          <w:color w:val="auto"/>
          <w:sz w:val="32"/>
          <w:szCs w:val="32"/>
        </w:rPr>
        <w:t>医疗机构违反本办法第十九条、第二十四条规定的，由所在地省、自治区、直辖市（食品）药品监督管理部门责令改正。</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医疗机构违反本办法第二十五条规定的，由所在地省、自治区、直辖市（食品）药品监督管理部门给予警告，责令限期改正；逾期不改正的，可以处5000元以上1万元以下的罚款。</w:t>
      </w: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第五十三条　</w:t>
      </w:r>
      <w:r>
        <w:rPr>
          <w:rFonts w:ascii="Times New Roman" w:hAnsi="Times New Roman" w:eastAsia="仿宋_GB2312"/>
          <w:color w:val="auto"/>
          <w:sz w:val="32"/>
          <w:szCs w:val="32"/>
        </w:rPr>
        <w:t>在实施本办法规定的行政许可中违反相关法律、法规的，按有关法律、法规处理。</w:t>
      </w:r>
    </w:p>
    <w:p>
      <w:pPr>
        <w:spacing w:line="594" w:lineRule="exact"/>
        <w:rPr>
          <w:rFonts w:ascii="Times New Roman" w:hAnsi="Times New Roman" w:eastAsia="仿宋"/>
          <w:color w:val="auto"/>
          <w:sz w:val="32"/>
          <w:szCs w:val="32"/>
        </w:rPr>
      </w:pPr>
    </w:p>
    <w:p>
      <w:pPr>
        <w:numPr>
          <w:ilvl w:val="0"/>
          <w:numId w:val="1"/>
        </w:numPr>
        <w:spacing w:line="594" w:lineRule="exact"/>
        <w:jc w:val="center"/>
        <w:rPr>
          <w:rFonts w:ascii="Times New Roman" w:hAnsi="黑体" w:eastAsia="黑体"/>
          <w:color w:val="auto"/>
          <w:sz w:val="32"/>
          <w:szCs w:val="32"/>
        </w:rPr>
      </w:pPr>
      <w:r>
        <w:rPr>
          <w:rFonts w:ascii="Times New Roman" w:hAnsi="黑体" w:eastAsia="黑体"/>
          <w:color w:val="auto"/>
          <w:sz w:val="32"/>
          <w:szCs w:val="32"/>
        </w:rPr>
        <w:t>附</w:t>
      </w:r>
      <w:r>
        <w:rPr>
          <w:rFonts w:hint="eastAsia" w:hAnsi="黑体" w:eastAsia="黑体"/>
          <w:color w:val="auto"/>
          <w:sz w:val="32"/>
          <w:szCs w:val="32"/>
          <w:lang w:val="en-US" w:eastAsia="zh-CN"/>
        </w:rPr>
        <w:t xml:space="preserve">    </w:t>
      </w:r>
      <w:r>
        <w:rPr>
          <w:rFonts w:ascii="Times New Roman" w:hAnsi="黑体" w:eastAsia="黑体"/>
          <w:color w:val="auto"/>
          <w:sz w:val="32"/>
          <w:szCs w:val="32"/>
        </w:rPr>
        <w:t>则</w:t>
      </w:r>
    </w:p>
    <w:p>
      <w:pPr>
        <w:numPr>
          <w:ilvl w:val="0"/>
          <w:numId w:val="0"/>
        </w:numPr>
        <w:spacing w:line="594" w:lineRule="exact"/>
        <w:jc w:val="both"/>
        <w:rPr>
          <w:rFonts w:ascii="Times New Roman" w:hAnsi="黑体" w:eastAsia="黑体"/>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第五十四条　</w:t>
      </w:r>
      <w:r>
        <w:rPr>
          <w:rFonts w:ascii="Times New Roman" w:hAnsi="Times New Roman" w:eastAsia="仿宋_GB2312"/>
          <w:color w:val="auto"/>
          <w:sz w:val="32"/>
          <w:szCs w:val="32"/>
        </w:rPr>
        <w:t>本办法由国家食品药品监督管理局负责解释。</w:t>
      </w:r>
    </w:p>
    <w:p>
      <w:pPr>
        <w:spacing w:line="594" w:lineRule="exact"/>
        <w:rPr>
          <w:rFonts w:hint="eastAsia" w:ascii="Times New Roman" w:hAnsi="Times New Roman" w:eastAsia="仿宋_GB2312" w:cs="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第五十五条　</w:t>
      </w:r>
      <w:r>
        <w:rPr>
          <w:rFonts w:ascii="Times New Roman" w:hAnsi="Times New Roman" w:eastAsia="仿宋_GB2312"/>
          <w:color w:val="auto"/>
          <w:sz w:val="32"/>
          <w:szCs w:val="32"/>
        </w:rPr>
        <w:t>本办法自2005年6月1日起施行。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A01692"/>
    <w:multiLevelType w:val="singleLevel"/>
    <w:tmpl w:val="AEA01692"/>
    <w:lvl w:ilvl="0" w:tentative="0">
      <w:start w:val="7"/>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3990047"/>
    <w:rsid w:val="04B679C3"/>
    <w:rsid w:val="062E5B7F"/>
    <w:rsid w:val="080F63D8"/>
    <w:rsid w:val="08AD5BDC"/>
    <w:rsid w:val="09341458"/>
    <w:rsid w:val="0A1F42D0"/>
    <w:rsid w:val="0AAF1847"/>
    <w:rsid w:val="0B0912D7"/>
    <w:rsid w:val="0B680A2B"/>
    <w:rsid w:val="0D054785"/>
    <w:rsid w:val="0EC76A20"/>
    <w:rsid w:val="13102CD3"/>
    <w:rsid w:val="13423986"/>
    <w:rsid w:val="152D2DC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1FF061A"/>
    <w:rsid w:val="22440422"/>
    <w:rsid w:val="22BF7272"/>
    <w:rsid w:val="22FC6C14"/>
    <w:rsid w:val="240B677B"/>
    <w:rsid w:val="2431531A"/>
    <w:rsid w:val="25117842"/>
    <w:rsid w:val="26881739"/>
    <w:rsid w:val="269C67AD"/>
    <w:rsid w:val="27FA06B1"/>
    <w:rsid w:val="289572DB"/>
    <w:rsid w:val="29D709EB"/>
    <w:rsid w:val="2AA64C74"/>
    <w:rsid w:val="2B005FDB"/>
    <w:rsid w:val="2BD351E7"/>
    <w:rsid w:val="303B7C0D"/>
    <w:rsid w:val="31A15F24"/>
    <w:rsid w:val="33A95A17"/>
    <w:rsid w:val="353109EB"/>
    <w:rsid w:val="374768C0"/>
    <w:rsid w:val="395347B5"/>
    <w:rsid w:val="39A232A0"/>
    <w:rsid w:val="39BE0417"/>
    <w:rsid w:val="39E745AA"/>
    <w:rsid w:val="3A4355A5"/>
    <w:rsid w:val="3B0567AE"/>
    <w:rsid w:val="3B5A6BBB"/>
    <w:rsid w:val="3DA2013A"/>
    <w:rsid w:val="3E004607"/>
    <w:rsid w:val="3E7147C4"/>
    <w:rsid w:val="3EDA13A6"/>
    <w:rsid w:val="3F3A71F0"/>
    <w:rsid w:val="3FA70E1B"/>
    <w:rsid w:val="41FF0A9A"/>
    <w:rsid w:val="4210198E"/>
    <w:rsid w:val="42F058B7"/>
    <w:rsid w:val="436109F6"/>
    <w:rsid w:val="441A38D4"/>
    <w:rsid w:val="44A86E54"/>
    <w:rsid w:val="45BF7A6B"/>
    <w:rsid w:val="477D3B0A"/>
    <w:rsid w:val="4882778C"/>
    <w:rsid w:val="49D0319A"/>
    <w:rsid w:val="49D91622"/>
    <w:rsid w:val="4AC64D68"/>
    <w:rsid w:val="4B3A746D"/>
    <w:rsid w:val="4B85080B"/>
    <w:rsid w:val="4BC77339"/>
    <w:rsid w:val="4C3337D0"/>
    <w:rsid w:val="4C7C7EDA"/>
    <w:rsid w:val="4C9236C5"/>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7367B1"/>
    <w:rsid w:val="567A40FD"/>
    <w:rsid w:val="571C6D53"/>
    <w:rsid w:val="572C6D10"/>
    <w:rsid w:val="59E05ECD"/>
    <w:rsid w:val="5B0F7567"/>
    <w:rsid w:val="5B5B46DE"/>
    <w:rsid w:val="5BE223A9"/>
    <w:rsid w:val="5CA16EC6"/>
    <w:rsid w:val="5D4A5E95"/>
    <w:rsid w:val="5DC34279"/>
    <w:rsid w:val="5DFE5C52"/>
    <w:rsid w:val="5E077A21"/>
    <w:rsid w:val="5EC12C3D"/>
    <w:rsid w:val="5EE66C00"/>
    <w:rsid w:val="608816D1"/>
    <w:rsid w:val="60EF4E7F"/>
    <w:rsid w:val="61F050AA"/>
    <w:rsid w:val="62E94FF3"/>
    <w:rsid w:val="63FF5EE3"/>
    <w:rsid w:val="6570193C"/>
    <w:rsid w:val="665233C1"/>
    <w:rsid w:val="667C3224"/>
    <w:rsid w:val="67D86D04"/>
    <w:rsid w:val="6AD9688B"/>
    <w:rsid w:val="6B6B1135"/>
    <w:rsid w:val="6BB7602F"/>
    <w:rsid w:val="6C946377"/>
    <w:rsid w:val="6D0E3F22"/>
    <w:rsid w:val="6E6A06EF"/>
    <w:rsid w:val="6F8D4DFB"/>
    <w:rsid w:val="70673123"/>
    <w:rsid w:val="70E46F2A"/>
    <w:rsid w:val="746653F9"/>
    <w:rsid w:val="76B13214"/>
    <w:rsid w:val="773C7ABF"/>
    <w:rsid w:val="79740ADD"/>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15</Pages>
  <Words>6710</Words>
  <Characters>6735</Characters>
  <Lines>63</Lines>
  <Paragraphs>17</Paragraphs>
  <TotalTime>7</TotalTime>
  <ScaleCrop>false</ScaleCrop>
  <LinksUpToDate>false</LinksUpToDate>
  <CharactersWithSpaces>7029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2022-09-20T10:32:32Z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947E8C59B5434F8FAE0EA8A9EBB6A381</vt:lpwstr>
  </property>
</Properties>
</file>