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t>外商投资信息报告办法</w:t>
      </w: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olor w:val="000000" w:themeColor="text1"/>
          <w:kern w:val="2"/>
          <w:sz w:val="32"/>
          <w:szCs w:val="32"/>
          <w14:textFill>
            <w14:solidFill>
              <w14:schemeClr w14:val="tx1"/>
            </w14:solidFill>
          </w14:textFill>
        </w:rPr>
      </w:pPr>
      <w:bookmarkStart w:id="0" w:name="_GoBack"/>
      <w:r>
        <w:rPr>
          <w:rFonts w:ascii="Times New Roman" w:hAnsi="Times New Roman" w:eastAsia="楷体_GB2312"/>
          <w:color w:val="000000" w:themeColor="text1"/>
          <w:kern w:val="2"/>
          <w:sz w:val="32"/>
          <w:szCs w:val="32"/>
          <w14:textFill>
            <w14:solidFill>
              <w14:schemeClr w14:val="tx1"/>
            </w14:solidFill>
          </w14:textFill>
        </w:rPr>
        <w:t>（2019年12月30日商务部、国家市场监督管理总局令2019年第2号公布）</w:t>
      </w:r>
    </w:p>
    <w:bookmarkEnd w:id="0"/>
    <w:p>
      <w:pPr>
        <w:spacing w:line="594" w:lineRule="exact"/>
        <w:jc w:val="center"/>
        <w:rPr>
          <w:rFonts w:ascii="Times New Roman" w:hAnsi="Times New Roman"/>
          <w:color w:val="000000" w:themeColor="text1"/>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outlineLvl w:val="0"/>
        <w:rPr>
          <w:rFonts w:hint="eastAsia" w:ascii="Times New Roman" w:hAnsi="Times New Roman" w:eastAsia="黑体"/>
          <w:color w:val="000000" w:themeColor="text1"/>
          <w:kern w:val="2"/>
          <w:sz w:val="32"/>
          <w:szCs w:val="32"/>
          <w14:textFill>
            <w14:solidFill>
              <w14:schemeClr w14:val="tx1"/>
            </w14:solidFill>
          </w14:textFill>
        </w:rPr>
      </w:pPr>
      <w:r>
        <w:rPr>
          <w:rFonts w:hint="eastAsia" w:ascii="Times New Roman" w:hAnsi="Times New Roman" w:eastAsia="黑体"/>
          <w:color w:val="000000" w:themeColor="text1"/>
          <w:kern w:val="2"/>
          <w:sz w:val="32"/>
          <w:szCs w:val="32"/>
          <w:lang w:val="en-US" w:eastAsia="zh-CN"/>
          <w14:textFill>
            <w14:solidFill>
              <w14:schemeClr w14:val="tx1"/>
            </w14:solidFill>
          </w14:textFill>
        </w:rPr>
        <w:t xml:space="preserve">第一章 </w:t>
      </w:r>
      <w:r>
        <w:rPr>
          <w:rFonts w:hint="eastAsia" w:ascii="Times New Roman" w:hAnsi="Times New Roman" w:eastAsia="黑体"/>
          <w:color w:val="000000" w:themeColor="text1"/>
          <w:kern w:val="2"/>
          <w:sz w:val="32"/>
          <w:szCs w:val="32"/>
          <w14:textFill>
            <w14:solidFill>
              <w14:schemeClr w14:val="tx1"/>
            </w14:solidFill>
          </w14:textFill>
        </w:rPr>
        <w:t xml:space="preserve"> </w:t>
      </w:r>
      <w:r>
        <w:rPr>
          <w:rFonts w:ascii="Times New Roman" w:hAnsi="Times New Roman" w:eastAsia="黑体"/>
          <w:color w:val="000000" w:themeColor="text1"/>
          <w:kern w:val="2"/>
          <w:sz w:val="32"/>
          <w:szCs w:val="32"/>
          <w14:textFill>
            <w14:solidFill>
              <w14:schemeClr w14:val="tx1"/>
            </w14:solidFill>
          </w14:textFill>
        </w:rPr>
        <w:t>总</w:t>
      </w:r>
      <w:r>
        <w:rPr>
          <w:rFonts w:hint="eastAsia" w:ascii="Times New Roman" w:hAnsi="Times New Roman" w:eastAsia="黑体"/>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120"/>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为进一步扩大对外开放，提升外商投资促进、保护和管理水平，完善外商投资政策措施，改善营商环境，根据《中华人民共和国外商投资法》及《中华人民共和国外商投资法实施条例》，制定本办法。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第二条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外国投资者直接或者间接在中国境内进行投资活动，应由外国投资者或者外商投资企业根据本办法向商务主管部门报送投资信息。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商务部负责统筹和指导全国范围内外商投资信息报告工作。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县级以上地方人民政府商务主管部门以及自由贸易试验区、国家级经济技术开发区的相关机构负责本区域内外商投资信息报告工作。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外国投资者或者外商投资企业应当通过企业登记系统以及国家企业信用信息公示系统向商务主管部门报送投资信息。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市场监管部门应当及时将外国投资者、外商投资企业报送的上述投资信息推送至商务主管部门。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商务部建立外商投资信息报告系统，及时接收、处理市场监管部门推送的投资信息以及部门共享信息等。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市场监管总局统筹指导全国企业登记系统、国家企业信用信息公示系统建设，保障外商投资信息报告的实施。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各级商务主管部门和市场监管部门应当做好工作衔接。商务主管部门应当为外国投资者和外商投资企业报送投资信息提供专门指导。</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外国投资者或者外商投资企业应当及时报送投资信息，遵循真实、准确、完整原则，不得进行虚假或误导性报告，不得有重大遗漏。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numPr>
          <w:ilvl w:val="0"/>
          <w:numId w:val="0"/>
        </w:numPr>
        <w:shd w:val="clear" w:color="auto" w:fill="FFFFFF"/>
        <w:spacing w:before="0" w:beforeAutospacing="0" w:after="0" w:afterAutospacing="0" w:line="594" w:lineRule="exact"/>
        <w:ind w:leftChars="0"/>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Times New Roman" w:eastAsia="黑体" w:cs="Times New Roman"/>
          <w:color w:val="000000" w:themeColor="text1"/>
          <w:kern w:val="2"/>
          <w:sz w:val="32"/>
          <w:szCs w:val="32"/>
          <w14:textFill>
            <w14:solidFill>
              <w14:schemeClr w14:val="tx1"/>
            </w14:solidFill>
          </w14:textFill>
        </w:rPr>
        <w:t xml:space="preserve"> 报告主体、内容与方式</w:t>
      </w:r>
    </w:p>
    <w:p>
      <w:pPr>
        <w:pStyle w:val="6"/>
        <w:shd w:val="clear" w:color="auto" w:fill="FFFFFF"/>
        <w:spacing w:before="0" w:beforeAutospacing="0" w:after="0" w:afterAutospacing="0" w:line="594" w:lineRule="exact"/>
        <w:ind w:left="1120"/>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外国投资者或者外商投资企业应当按照本办法规定通过提交初始报告、变更报告、注销报告、年度报告等方式报送投资信息。</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外国投资者在中国境内设立外商投资企业，应于办理外商投资企业设立登记时通过企业登记系统提交初始报告。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外国投资者股权并购境内非外商投资企业，应在办理被并购企业变更登记时通过企业登记系统提交初始报告。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外国投资者提交初始报告，应当报送企业基本信息、投资者及其实际控制人信息、投资交易信息等信息。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初始报告的信息发生变更，涉及企业变更登记（备案）的，外商投资企业应于办理企业变更登记（备案）时通过企业登记系统提交变更报告。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不涉及企业变更登记（备案）的，外商投资企业应于变更事项发</w:t>
      </w:r>
      <w:r>
        <w:rPr>
          <w:rFonts w:ascii="Times New Roman" w:hAnsi="Times New Roman" w:eastAsia="仿宋_GB2312" w:cs="Times New Roman"/>
          <w:color w:val="000000" w:themeColor="text1"/>
          <w:kern w:val="2"/>
          <w:sz w:val="32"/>
          <w:szCs w:val="32"/>
          <w14:textFill>
            <w14:solidFill>
              <w14:schemeClr w14:val="tx1"/>
            </w14:solidFill>
          </w14:textFill>
        </w:rPr>
        <w:t>生后20个工</w:t>
      </w:r>
      <w:r>
        <w:rPr>
          <w:rFonts w:ascii="Times New Roman" w:hAnsi="Times New Roman" w:eastAsia="仿宋_GB2312" w:cs="Times New Roman"/>
          <w:color w:val="000000" w:themeColor="text1"/>
          <w:kern w:val="2"/>
          <w:sz w:val="32"/>
          <w:szCs w:val="32"/>
          <w14:textFill>
            <w14:solidFill>
              <w14:schemeClr w14:val="tx1"/>
            </w14:solidFill>
          </w14:textFill>
        </w:rPr>
        <w:t>作日内通过企业登记系统提交变更报告。企业根据章程对变更事项作出决议的，以作出决议的时间为变更事项的发生时间；法律法规对变更事项的生效条件另有要求的，以满足相应要求的时间为变更事项的发生时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外商投资的上市公司及在全国中小企业股份转让系统挂牌的公司，可仅在外国投资者持股比例变化累计超过</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Times New Roman" w:eastAsia="仿宋_GB2312" w:cs="Times New Roman"/>
          <w:color w:val="000000" w:themeColor="text1"/>
          <w:kern w:val="2"/>
          <w:sz w:val="32"/>
          <w:szCs w:val="32"/>
          <w14:textFill>
            <w14:solidFill>
              <w14:schemeClr w14:val="tx1"/>
            </w14:solidFill>
          </w14:textFill>
        </w:rPr>
        <w:t>或者引起外方控股、相对控股地位发生变化时，报告投资者及其所持股份变更信息。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第十二条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外商投资企业提交变更报告，应当报送企业基本信息、投资者及其实际控制人信息、投资交易信息等信息的变更情况。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外商投资企业注销或者转为内资企业的，在办理企业注销登记或者企业变更登记后视同已提交注销报告，相关信息由市场监管部门推送至商务主管部门，外商投资企业无需另行报送。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第十四条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外商投资企业应于每</w:t>
      </w:r>
      <w:r>
        <w:rPr>
          <w:rFonts w:ascii="Times New Roman" w:hAnsi="Times New Roman" w:eastAsia="仿宋_GB2312" w:cs="Times New Roman"/>
          <w:color w:val="000000" w:themeColor="text1"/>
          <w:kern w:val="2"/>
          <w:sz w:val="32"/>
          <w:szCs w:val="32"/>
          <w14:textFill>
            <w14:solidFill>
              <w14:schemeClr w14:val="tx1"/>
            </w14:solidFill>
          </w14:textFill>
        </w:rPr>
        <w:t>年1月1日至6月30</w:t>
      </w:r>
      <w:r>
        <w:rPr>
          <w:rFonts w:ascii="Times New Roman" w:hAnsi="Times New Roman" w:eastAsia="仿宋_GB2312" w:cs="Times New Roman"/>
          <w:color w:val="000000" w:themeColor="text1"/>
          <w:kern w:val="2"/>
          <w:sz w:val="32"/>
          <w:szCs w:val="32"/>
          <w14:textFill>
            <w14:solidFill>
              <w14:schemeClr w14:val="tx1"/>
            </w14:solidFill>
          </w14:textFill>
        </w:rPr>
        <w:t>日通过国家企业信用信息公示系统提交上一年度的年度报告。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当年设立的外商投资企业，自下一年起报送年度报告。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外商投资企业提交年度报告，应当报送企业基本信息、投资者及其实际控制人信息、企业经营和资产负债等信息，涉及外商投资准入特别管理措施的，还应当报送获得相关行业许可信息。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_GB2312" w:cs="Times New Roman"/>
          <w:color w:val="000000" w:themeColor="text1"/>
          <w:kern w:val="2"/>
          <w:sz w:val="32"/>
          <w:szCs w:val="32"/>
          <w14:textFill>
            <w14:solidFill>
              <w14:schemeClr w14:val="tx1"/>
            </w14:solidFill>
          </w14:textFill>
        </w:rPr>
        <w:t>　初始报告、变更报告和年度报告等的具体内容，按照确有必要原则，结合外商投资实际情况和企业登记注册、企业信息公示的有关规定确定，由商务部以公告形式对外发布。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第三章  信息共享、公示与更正</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商务主管部门与有关部门应当根据信息报告工作需要建立外商投资信息共享机制。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除法律、行政法规另有规定外，有关部门在履行职责过程中获取的外商投资信息，应当及时与商务主管部门共享。</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第十八条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或者外商投资企业报送的投资信息，根据《企业信息公示暂行条例》应当向社会公示或者外国投资者、外商投资企业同意公示的，将通过国家企业信用信息公示系统及外商投资信息报告系统向社会公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或者外商投资企业发现其存在未报、错报、漏报有关投资信息的，应当及时进行补报或更正。外商投资企业对《企业信息公示暂行条例》第九条所列年度报告公示信息的补报或者更正应当符合该条例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商务主管部门发现外国投资者或者外商投资企业存在未报、错报、漏报的，应当通知外国投资者或者外商投资企业于</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个工作日内进行补报或更正。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更正涉及公示事项的，更正前后的信息应当同时公示。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第四章  监督管理</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仿宋_GB2312" w:cs="Times New Roman"/>
          <w:color w:val="000000" w:themeColor="text1"/>
          <w:kern w:val="2"/>
          <w:sz w:val="32"/>
          <w:szCs w:val="32"/>
          <w14:textFill>
            <w14:solidFill>
              <w14:schemeClr w14:val="tx1"/>
            </w14:solidFill>
          </w14:textFill>
        </w:rPr>
        <w:t>　商务主管部门对外国投资者、外商投资企业遵守本办法情况实施监督检查。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商务主管部门可联合有关部门，采取抽查、根据举报进行检查、根据有关部门或司法机关的建议和反映的情况进行检查，以及依职权启动检查等方式开展监督检查。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第二十一条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采取抽查方式对外国投资者、外商投资企业履行信息报告义务的情况实施监督检查，应当随机抽取检查对象、随机选派执法检查人员，抽查事项及查处结果及时通过外商投资信息报告系统公示平台予以公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公民、法人或其他组织发现外国投资者或者外商投资企业存在违反本办法的行为的，可向商务主管部门举报。举报采取书面形式，有明确的被举报人，并提供相关事实和证据的，商务主管部门接到举报后应当依法及时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其他有关部门或司法机关在履行职责的过程中，发现外国投资者或者外商投资企业有违反本办法的行为的，可向商务主管部门提出监督检查的建议，商务主管部门接到相关建议后应当依法及时处理。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对于未按本办法的规定进行报告，或曾有报告不实、对监督检查不予配合、拒不履行商务主管部门作出的行政处罚决定记录的外国投资者或者外商投资企业，商务主管部门可依职权对其启动检查。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可采取实地核查、书面检查等方式进行监督检查，可根据需要从其他部门获取信息用于核实外国投资者或者外商投资企业报送的投资信息是否真实、准确、完整、及时。商务主管部门可依法查阅或者要求被检查人提供有关材料，被检查人应当配合检查，如实提供。</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商务主管部门实施监督检查不得妨碍被检查人正常的生产经营活动，不得接受被检查人提供的财物或者服务，不得谋取其他非法利益。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商务主管部门、市场监管部门应当依法保护履行职责过程中知悉的外国投资者、外商投资企业的商业秘密。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第五章  法律责任</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外国投资者或者外商投资企业未按照本办法要求报送投资信息，且在商务主管部门通知后未按照本办法第十九条予以补报或更正的，由商务主管部门责令其于</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个工作日内改正；逾期不改正的，处十万元以上三十万元以下罚款；逾期不改正且存在以下情形的，处三十万元以上五十万元以下罚款：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（一）外国投资者或者外商投资企业故意逃避履行信息报告义务，或在进行信息报告时隐瞒真实情况、提供误导性或虚假信息；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（二）外国投资者或者外商投资企业就所属行业、是否涉及外商投资准入特别管理措施、企业投资者及其实际控制人等重要信息报送错误；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（三）外国投资者或者外商投资企业未按照本办法要求报送投资信息，并因此受到行政处罚的，两年内再次违反本办法有关要求；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（四）商务主管部门认定的其他严重情形。</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商务主管部门在监督检查中掌握的外国投资者、外商投资企业未依法履行信息报告义务的有关情况，应当记入外商投资信息报告系统，并按照国家关于信用体系建设的有关规定完善信用监管。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外国投资者、外商投资企业因违反信息报告义务受到商务主管部门行政处罚的，商务主管部门可将相关情况在外商投资信息报告系统公示平台上予以公示，并按照国家有关规定纳入信用信息系统。</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商务主管部门可与市场监管、外汇、海关、税务等有关部门共享外国投资者、外商投资企业履行信息报告义务以及受到相应行政处罚的有关情况。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外国投资者或者外商投资企业认为外商投资信息报告系统公示平台上有关信息记录不完整或者有错误的，可提供相关证明材料并向商务主管部门申请修正。经核查属实的，予以修正。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外国投资者或者外商投资企业改正违法行为、履行相关义务后</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年内未再发生违反信息报告义务行为的，可向商务主管部门申请移除外商投资信息报告系统公示平台上有关信息记录。经核查属实的，予以移除。</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第六章  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outlineLvl w:val="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外商投资企业在中国境内投资（含多层次投资）设立企业的，在向市场监管部门办理登记备案、报送年报信息后，相关信息由市场监管部门推送至商务主管部门，上述企业无需另行报送。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外商投资举办的投资性公司、创业投资企业和以投资为主要业务的合伙企业在境内投资设立企业的，应当参照本办法第二章的规定报送投资信息。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第三十条</w:t>
      </w:r>
      <w:r>
        <w:rPr>
          <w:rFonts w:ascii="Times New Roman" w:hAnsi="Times New Roman" w:eastAsia="仿宋_GB2312" w:cs="Times New Roman"/>
          <w:color w:val="000000" w:themeColor="text1"/>
          <w:kern w:val="2"/>
          <w:sz w:val="32"/>
          <w:szCs w:val="32"/>
          <w14:textFill>
            <w14:solidFill>
              <w14:schemeClr w14:val="tx1"/>
            </w14:solidFill>
          </w14:textFill>
        </w:rPr>
        <w:t>　非企业形式的外商投资，应由外国投资者参照本办法第二章的规定报送投资信息，但通过部门信息共享可以获得相关信息的除外。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第三十一条</w:t>
      </w:r>
      <w:r>
        <w:rPr>
          <w:rFonts w:ascii="Times New Roman" w:hAnsi="Times New Roman" w:eastAsia="仿宋_GB2312" w:cs="Times New Roman"/>
          <w:color w:val="000000" w:themeColor="text1"/>
          <w:kern w:val="2"/>
          <w:sz w:val="32"/>
          <w:szCs w:val="32"/>
          <w14:textFill>
            <w14:solidFill>
              <w14:schemeClr w14:val="tx1"/>
            </w14:solidFill>
          </w14:textFill>
        </w:rPr>
        <w:t>　法律、行政法规规定企业设立、变更、注销登记前须行业主管部门许可的，外国投资者或者外商投资企业应当在申请登记注册时向市场监管部门提交有关批准文件。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第三十二条</w:t>
      </w:r>
      <w:r>
        <w:rPr>
          <w:rFonts w:ascii="Times New Roman" w:hAnsi="Times New Roman" w:eastAsia="仿宋_GB2312" w:cs="Times New Roman"/>
          <w:color w:val="000000" w:themeColor="text1"/>
          <w:kern w:val="2"/>
          <w:sz w:val="32"/>
          <w:szCs w:val="32"/>
          <w14:textFill>
            <w14:solidFill>
              <w14:schemeClr w14:val="tx1"/>
            </w14:solidFill>
          </w14:textFill>
        </w:rPr>
        <w:t>　外国投资者在中国境内投资银行业、证券业、保险业等金融行业，适用本办法。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香港特别行政区、澳门特别行政区、台湾地区投资者以及定居在国外的中国公民的投资，参照本办法报送投资信息。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本办法由商务部、市场监管总局负责解释。</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日起实施。《外商投资企业设立及变更备案管理暂行办法》同时废止。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3D333F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4FAD4AA3"/>
    <w:rsid w:val="505C172E"/>
    <w:rsid w:val="506E68C1"/>
    <w:rsid w:val="509212F9"/>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774EFF"/>
    <w:rsid w:val="6AD9688B"/>
    <w:rsid w:val="6B082537"/>
    <w:rsid w:val="6B27617D"/>
    <w:rsid w:val="6BB7602F"/>
    <w:rsid w:val="6C712D2B"/>
    <w:rsid w:val="6C946377"/>
    <w:rsid w:val="6D0E3F22"/>
    <w:rsid w:val="6E6A06EF"/>
    <w:rsid w:val="70673123"/>
    <w:rsid w:val="706F7FE7"/>
    <w:rsid w:val="70E46F2A"/>
    <w:rsid w:val="72473034"/>
    <w:rsid w:val="72AA4C07"/>
    <w:rsid w:val="72F97425"/>
    <w:rsid w:val="731A04F4"/>
    <w:rsid w:val="736032BE"/>
    <w:rsid w:val="74346376"/>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3814</Words>
  <Characters>3830</Characters>
  <Lines>63</Lines>
  <Paragraphs>17</Paragraphs>
  <TotalTime>1</TotalTime>
  <ScaleCrop>false</ScaleCrop>
  <LinksUpToDate>false</LinksUpToDate>
  <CharactersWithSpaces>4142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2022-09-17T14:23:20Z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3586F09307464C2495122A6C55331CCF</vt:lpwstr>
  </property>
</Properties>
</file>