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FFFFFF"/>
        <w:spacing w:before="0" w:beforeAutospacing="0" w:after="0" w:afterAutospacing="0" w:line="594" w:lineRule="exact"/>
        <w:jc w:val="center"/>
        <w:outlineLvl w:val="0"/>
        <w:rPr>
          <w:rStyle w:val="10"/>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t>展会知识产权保护办法</w:t>
      </w: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bookmarkStart w:id="0" w:name="_GoBack"/>
      <w:r>
        <w:rPr>
          <w:rFonts w:ascii="Times New Roman" w:hAnsi="Times New Roman" w:eastAsia="楷体_GB2312" w:cs="Times New Roman"/>
          <w:color w:val="000000" w:themeColor="text1"/>
          <w:kern w:val="2"/>
          <w:sz w:val="32"/>
          <w:szCs w:val="32"/>
          <w14:textFill>
            <w14:solidFill>
              <w14:schemeClr w14:val="tx1"/>
            </w14:solidFill>
          </w14:textFill>
        </w:rPr>
        <w:t>（2006年1月10日商务部、国家工商行政管理总局、国家版权局、国家知识产权局令2006年第1号公布）</w:t>
      </w:r>
    </w:p>
    <w:bookmarkEnd w:id="0"/>
    <w:p>
      <w:pPr>
        <w:spacing w:line="594" w:lineRule="exact"/>
        <w:jc w:val="center"/>
        <w:rPr>
          <w:rFonts w:ascii="Times New Roman" w:hAnsi="Times New Roman"/>
          <w:color w:val="000000" w:themeColor="text1"/>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Chars="0"/>
        <w:jc w:val="center"/>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第一章  </w:t>
      </w:r>
      <w:r>
        <w:rPr>
          <w:rFonts w:ascii="Times New Roman" w:hAnsi="Times New Roman" w:eastAsia="黑体" w:cs="Times New Roman"/>
          <w:color w:val="000000" w:themeColor="text1"/>
          <w:kern w:val="2"/>
          <w:sz w:val="32"/>
          <w:szCs w:val="32"/>
          <w14:textFill>
            <w14:solidFill>
              <w14:schemeClr w14:val="tx1"/>
            </w14:solidFill>
          </w14:textFill>
        </w:rPr>
        <w:t>总</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ind w:left="1280"/>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为加强展会期间知识产权保护，维护会展业秩序，推动会展业的健康发展，根据《中华人民共和国对外贸易法》、《中华人民共和国专利法》、《中华人民共和国商标法》和《中华人民共和国著作权法》及相关行政法规等制定本办法。</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第二条</w:t>
      </w:r>
      <w:r>
        <w:rPr>
          <w:rFonts w:ascii="Times New Roman" w:hAnsi="Times New Roman" w:eastAsia="仿宋_GB2312" w:cs="Times New Roman"/>
          <w:color w:val="000000" w:themeColor="text1"/>
          <w:kern w:val="2"/>
          <w:sz w:val="32"/>
          <w:szCs w:val="32"/>
          <w14:textFill>
            <w14:solidFill>
              <w14:schemeClr w14:val="tx1"/>
            </w14:solidFill>
          </w14:textFill>
        </w:rPr>
        <w:t>　本办法适用于在中华人民共和国境内举办的各类经济技术贸易展览会、展销会、博览会、交易会、展示会等活动中有关专利、商标、版权的保护。</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第三条</w:t>
      </w:r>
      <w:r>
        <w:rPr>
          <w:rFonts w:ascii="Times New Roman" w:hAnsi="Times New Roman" w:eastAsia="仿宋_GB2312" w:cs="Times New Roman"/>
          <w:color w:val="000000" w:themeColor="text1"/>
          <w:kern w:val="2"/>
          <w:sz w:val="32"/>
          <w:szCs w:val="32"/>
          <w14:textFill>
            <w14:solidFill>
              <w14:schemeClr w14:val="tx1"/>
            </w14:solidFill>
          </w14:textFill>
        </w:rPr>
        <w:t>　展会管理部门应加强对展会期间知识产权保护的协调、监督、检查，维护展会的正常交易秩序。</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第四条</w:t>
      </w:r>
      <w:r>
        <w:rPr>
          <w:rFonts w:ascii="Times New Roman" w:hAnsi="Times New Roman" w:eastAsia="仿宋_GB2312" w:cs="Times New Roman"/>
          <w:color w:val="000000" w:themeColor="text1"/>
          <w:kern w:val="2"/>
          <w:sz w:val="32"/>
          <w:szCs w:val="32"/>
          <w14:textFill>
            <w14:solidFill>
              <w14:schemeClr w14:val="tx1"/>
            </w14:solidFill>
          </w14:textFill>
        </w:rPr>
        <w:t>　展会主办方应当依法维护知识产权权利人的合法权益。展会主办方在招商招展时，应加强对参展方有关知识产权的保护和对参展项目（包括展品、展板及相关宣传资料等）的知识产权状况的审查。在展会期间，展会主办方应当积极配合知识产权行政管理部门的知识产权保护工作。</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展会主办方可通过与参展方签订参展期间知识产权保护条款或合同的形式，加强展会知识产权保护工作。</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参展方应当合法参展，不得侵犯他人知识产权，并应对知识产权行政管理部门或司法部门的调查予以配合。</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第二章　投诉处理</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展会时间在三天以上（含三天），展会管理部门认为有必要的，展会主办方应在展会期间设立知识产权投诉机构。设立投诉机构的，展会举办地知识产权行政管理部门应当派员进驻，并依法对侵权案件进行处理。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未设立投诉机构的，展会举办地知识产权行政管理部门应当加强对展会知识产权保护的指导、监督和有关案件的处理，展会主办方应当将展会举办地的相关知识产权行政管理部门的联系人、联系方式等在展会场馆的显著位置予以公示。</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第七条</w:t>
      </w:r>
      <w:r>
        <w:rPr>
          <w:rFonts w:ascii="Times New Roman" w:hAnsi="Times New Roman" w:eastAsia="仿宋_GB2312" w:cs="Times New Roman"/>
          <w:color w:val="000000" w:themeColor="text1"/>
          <w:kern w:val="2"/>
          <w:sz w:val="32"/>
          <w:szCs w:val="32"/>
          <w14:textFill>
            <w14:solidFill>
              <w14:schemeClr w14:val="tx1"/>
            </w14:solidFill>
          </w14:textFill>
        </w:rPr>
        <w:t>　展会知识产权投诉机构应由展会主办方、展会管理部门、专利、商标、版权等知识产权行政管理部门的人员组成，其职责包括：</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（一）接受知识产权权利人的投诉，暂停涉嫌侵犯知识产权的展品在展会期间展出；</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（二）将有关投诉材料移交相关知识产权行政管理部门；</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（三）协调和督促投诉的处理；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（四）对展会知识产权保护信息进行统计和分析；</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（五）其他相关事项。</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第八条</w:t>
      </w:r>
      <w:r>
        <w:rPr>
          <w:rFonts w:ascii="Times New Roman" w:hAnsi="Times New Roman" w:eastAsia="仿宋_GB2312" w:cs="Times New Roman"/>
          <w:color w:val="000000" w:themeColor="text1"/>
          <w:kern w:val="2"/>
          <w:sz w:val="32"/>
          <w:szCs w:val="32"/>
          <w14:textFill>
            <w14:solidFill>
              <w14:schemeClr w14:val="tx1"/>
            </w14:solidFill>
          </w14:textFill>
        </w:rPr>
        <w:t>　知识产权权利人可以向展会知识产权投诉机构投诉也可直接向知识产权行政管理部门投诉。权利人向投诉机构投诉的，应当提交以下材料：</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合法有效的知识产权权属证明：涉及专利的，应当提交专利证书、专利公告文本、专利权人的身份证明、专利法律状态证明；涉及商标的，应当提交商标注册证明文件，并由投诉人签章确认，商标权利人身份证明；涉及著作权的，应当提交著作权权利证明、著作权人身份证明；</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（二）涉嫌侵权当事人的基本信息；</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（三）涉嫌侵权的理由和证据；</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（四）委托代理人投诉的，应提交授权委托书。</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第九条</w:t>
      </w:r>
      <w:r>
        <w:rPr>
          <w:rFonts w:ascii="Times New Roman" w:hAnsi="Times New Roman" w:eastAsia="仿宋_GB2312" w:cs="Times New Roman"/>
          <w:color w:val="000000" w:themeColor="text1"/>
          <w:kern w:val="2"/>
          <w:sz w:val="32"/>
          <w:szCs w:val="32"/>
          <w14:textFill>
            <w14:solidFill>
              <w14:schemeClr w14:val="tx1"/>
            </w14:solidFill>
          </w14:textFill>
        </w:rPr>
        <w:t>　不符合本办法第八条规定的，展会知识产权投诉机构应当及时通知投诉人或者请求人补充有关材料。未予补充的，不予接受。</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第十条　</w:t>
      </w:r>
      <w:r>
        <w:rPr>
          <w:rFonts w:ascii="Times New Roman" w:hAnsi="Times New Roman" w:eastAsia="仿宋_GB2312" w:cs="Times New Roman"/>
          <w:color w:val="000000" w:themeColor="text1"/>
          <w:kern w:val="2"/>
          <w:sz w:val="32"/>
          <w:szCs w:val="32"/>
          <w14:textFill>
            <w14:solidFill>
              <w14:schemeClr w14:val="tx1"/>
            </w14:solidFill>
          </w14:textFill>
        </w:rPr>
        <w:t>投诉人提交虚假投诉材料或其他因投诉不实给被投诉人带来损失的，应当承担相应法律责任。</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第十一条</w:t>
      </w:r>
      <w:r>
        <w:rPr>
          <w:rFonts w:ascii="Times New Roman" w:hAnsi="Times New Roman" w:eastAsia="仿宋_GB2312" w:cs="Times New Roman"/>
          <w:color w:val="000000" w:themeColor="text1"/>
          <w:kern w:val="2"/>
          <w:sz w:val="32"/>
          <w:szCs w:val="32"/>
          <w14:textFill>
            <w14:solidFill>
              <w14:schemeClr w14:val="tx1"/>
            </w14:solidFill>
          </w14:textFill>
        </w:rPr>
        <w:t>　展会知识产权投诉机构在收到符合本办法第八条规定的投诉材料后，应于</w:t>
      </w:r>
      <w:r>
        <w:rPr>
          <w:rFonts w:ascii="Times New Roman" w:hAnsi="Times New Roman" w:eastAsia="仿宋_GB2312" w:cs="Times New Roman"/>
          <w:color w:val="000000" w:themeColor="text1"/>
          <w:kern w:val="2"/>
          <w:sz w:val="32"/>
          <w:szCs w:val="32"/>
          <w14:textFill>
            <w14:solidFill>
              <w14:schemeClr w14:val="tx1"/>
            </w14:solidFill>
          </w14:textFill>
        </w:rPr>
        <w:t>24</w:t>
      </w:r>
      <w:r>
        <w:rPr>
          <w:rFonts w:ascii="Times New Roman" w:hAnsi="Times New Roman" w:eastAsia="仿宋_GB2312" w:cs="Times New Roman"/>
          <w:color w:val="000000" w:themeColor="text1"/>
          <w:kern w:val="2"/>
          <w:sz w:val="32"/>
          <w:szCs w:val="32"/>
          <w14:textFill>
            <w14:solidFill>
              <w14:schemeClr w14:val="tx1"/>
            </w14:solidFill>
          </w14:textFill>
        </w:rPr>
        <w:t>小时内将其移交有关知识产权行政管理部门。</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第十二条</w:t>
      </w:r>
      <w:r>
        <w:rPr>
          <w:rFonts w:ascii="Times New Roman" w:hAnsi="Times New Roman" w:eastAsia="仿宋_GB2312" w:cs="Times New Roman"/>
          <w:color w:val="000000" w:themeColor="text1"/>
          <w:kern w:val="2"/>
          <w:sz w:val="32"/>
          <w:szCs w:val="32"/>
          <w14:textFill>
            <w14:solidFill>
              <w14:schemeClr w14:val="tx1"/>
            </w14:solidFill>
          </w14:textFill>
        </w:rPr>
        <w:t>　地方知识产权行政管理部门受理投诉或者处理请求的，应当通知展会主办方，并及时通知被投诉人或者被请求人。</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第十三条</w:t>
      </w:r>
      <w:r>
        <w:rPr>
          <w:rFonts w:ascii="Times New Roman" w:hAnsi="Times New Roman" w:eastAsia="仿宋_GB2312" w:cs="Times New Roman"/>
          <w:color w:val="000000" w:themeColor="text1"/>
          <w:kern w:val="2"/>
          <w:sz w:val="32"/>
          <w:szCs w:val="32"/>
          <w14:textFill>
            <w14:solidFill>
              <w14:schemeClr w14:val="tx1"/>
            </w14:solidFill>
          </w14:textFill>
        </w:rPr>
        <w:t>　在处理侵犯知识产权的投诉或者请求程序中，地方知识产权行政管理部门可以根据展会的展期指定被投诉人或者被请求人的答辩期限。</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第十四条</w:t>
      </w:r>
      <w:r>
        <w:rPr>
          <w:rFonts w:ascii="Times New Roman" w:hAnsi="Times New Roman" w:eastAsia="仿宋_GB2312" w:cs="Times New Roman"/>
          <w:color w:val="000000" w:themeColor="text1"/>
          <w:kern w:val="2"/>
          <w:sz w:val="32"/>
          <w:szCs w:val="32"/>
          <w14:textFill>
            <w14:solidFill>
              <w14:schemeClr w14:val="tx1"/>
            </w14:solidFill>
          </w14:textFill>
        </w:rPr>
        <w:t>　被投诉人或者被请求人提交答辩书后，除非有必要作进一步调查，地方知识产权行政管理部门应当及时作出决定并送交双方当事人。</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被投诉人或者被请求人逾期未提交答辩书的，不影响地方知识产权行政管理部门作出决定。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第十五条</w:t>
      </w:r>
      <w:r>
        <w:rPr>
          <w:rFonts w:ascii="Times New Roman" w:hAnsi="Times New Roman" w:eastAsia="仿宋_GB2312" w:cs="Times New Roman"/>
          <w:color w:val="000000" w:themeColor="text1"/>
          <w:kern w:val="2"/>
          <w:sz w:val="32"/>
          <w:szCs w:val="32"/>
          <w14:textFill>
            <w14:solidFill>
              <w14:schemeClr w14:val="tx1"/>
            </w14:solidFill>
          </w14:textFill>
        </w:rPr>
        <w:t>　展会结束后，相关知识产权行政管理部门应当及时将有关处理结果通告展会主办方。展会主办方应当做好展会知识产权保护的统计分析工作，并将有关情况及时报展会管理部门。</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第三章　展会期间专利保护</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第十六条</w:t>
      </w:r>
      <w:r>
        <w:rPr>
          <w:rFonts w:ascii="Times New Roman" w:hAnsi="Times New Roman" w:eastAsia="仿宋_GB2312" w:cs="Times New Roman"/>
          <w:color w:val="000000" w:themeColor="text1"/>
          <w:kern w:val="2"/>
          <w:sz w:val="32"/>
          <w:szCs w:val="32"/>
          <w14:textFill>
            <w14:solidFill>
              <w14:schemeClr w14:val="tx1"/>
            </w14:solidFill>
          </w14:textFill>
        </w:rPr>
        <w:t>　展会投诉机构需要地方知识产权局协助的，地方知识产权局应当积极配合，参与展会知识产权保护工作。地方知识产权局在展会期间的工作可以包括：</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（一）接受展会投诉机构移交的关于涉嫌侵犯专利权的投诉，依照专利法律法规的有关规定进行处理；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（二）受理展出项目涉嫌侵犯专利权的专利侵权纠纷处理请求，依照专利法第五十七条的规定进行处理；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（三）受理展出项目涉嫌假冒他人专利和冒充专利的举报，或者依职权查处展出项目中假冒他人专利和冒充专利的行为，依据专利法第五十八条和第五十九条的规定进行处罚。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第十七条　</w:t>
      </w:r>
      <w:r>
        <w:rPr>
          <w:rFonts w:ascii="Times New Roman" w:hAnsi="Times New Roman" w:eastAsia="仿宋_GB2312" w:cs="Times New Roman"/>
          <w:color w:val="000000" w:themeColor="text1"/>
          <w:kern w:val="2"/>
          <w:sz w:val="32"/>
          <w:szCs w:val="32"/>
          <w14:textFill>
            <w14:solidFill>
              <w14:schemeClr w14:val="tx1"/>
            </w14:solidFill>
          </w14:textFill>
        </w:rPr>
        <w:t>有下列情形之一的，地方知识产权局对侵犯专利权的投诉或者处理请求不予受理：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（一）投诉人或者请求人已经向人民法院提起专利侵权诉讼的；</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（二）专利权正处于无效宣告请求程序之中的；</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（三）专利权存在权属纠纷，正处于人民法院的审理程序或者管理专利工作的部门的调解程序之中的；</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（四）专利权已经终止，专利权人正在办理权利恢复的。</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第十八条</w:t>
      </w:r>
      <w:r>
        <w:rPr>
          <w:rFonts w:ascii="Times New Roman" w:hAnsi="Times New Roman" w:eastAsia="仿宋_GB2312" w:cs="Times New Roman"/>
          <w:color w:val="000000" w:themeColor="text1"/>
          <w:kern w:val="2"/>
          <w:sz w:val="32"/>
          <w:szCs w:val="32"/>
          <w14:textFill>
            <w14:solidFill>
              <w14:schemeClr w14:val="tx1"/>
            </w14:solidFill>
          </w14:textFill>
        </w:rPr>
        <w:t>　地方知识产权局在通知被投诉人或者被请求人时，可以即行调查取证，查阅、复制与案件有关的文件，询问当事人，采用拍照、摄像等方式进行现场勘验，也可以抽样取证。</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地方知识产权局收集证据应当制作笔录，由承办人员、被调查取证的当事人签名盖章。被调查取证的当事人拒绝签名盖章的，应当在笔录上注明原因；有其他人在现场的，也可同时由其他人签名。</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第四章　展会期间商标保护</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第十九条</w:t>
      </w:r>
      <w:r>
        <w:rPr>
          <w:rFonts w:ascii="Times New Roman" w:hAnsi="Times New Roman" w:eastAsia="仿宋_GB2312" w:cs="Times New Roman"/>
          <w:color w:val="000000" w:themeColor="text1"/>
          <w:kern w:val="2"/>
          <w:sz w:val="32"/>
          <w:szCs w:val="32"/>
          <w14:textFill>
            <w14:solidFill>
              <w14:schemeClr w14:val="tx1"/>
            </w14:solidFill>
          </w14:textFill>
        </w:rPr>
        <w:t>　展会投诉机构需要地方工商行政管理部门协助的，地方工商行政管理部门应当积极配合，参与展会知识产权保护工作。地方工商行政管理部门在展会期间的工作可以包括：</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（一）接受展会投诉机构移交的关于涉嫌侵犯商标权的投诉，依照商标法律法规的有关规定进行处理；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（二）受理符合商标法第五十二条规定的侵犯商标专用权的投诉；</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（三）依职权查处商标违法案件。</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第二十条</w:t>
      </w:r>
      <w:r>
        <w:rPr>
          <w:rFonts w:ascii="Times New Roman" w:hAnsi="Times New Roman" w:eastAsia="仿宋_GB2312" w:cs="Times New Roman"/>
          <w:color w:val="000000" w:themeColor="text1"/>
          <w:kern w:val="2"/>
          <w:sz w:val="32"/>
          <w:szCs w:val="32"/>
          <w14:textFill>
            <w14:solidFill>
              <w14:schemeClr w14:val="tx1"/>
            </w14:solidFill>
          </w14:textFill>
        </w:rPr>
        <w:t>　有下列情形之一的，地方工商行政管理部门对侵犯商标专用权的投诉或者处理请求不予受理：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（一）投诉人或者请求人已经向人民法院提起商标侵权诉讼的；</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（二）商标权已经无效或者被撤销的。</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第二十一条</w:t>
      </w:r>
      <w:r>
        <w:rPr>
          <w:rFonts w:ascii="Times New Roman" w:hAnsi="Times New Roman" w:eastAsia="仿宋_GB2312" w:cs="Times New Roman"/>
          <w:color w:val="000000" w:themeColor="text1"/>
          <w:kern w:val="2"/>
          <w:sz w:val="32"/>
          <w:szCs w:val="32"/>
          <w14:textFill>
            <w14:solidFill>
              <w14:schemeClr w14:val="tx1"/>
            </w14:solidFill>
          </w14:textFill>
        </w:rPr>
        <w:t>　地方工商行政管理部门决定受理后，可以根据商标法律法规等相关规定进行调查和处理。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第五章　展会期间著作权保护</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第二十二条</w:t>
      </w:r>
      <w:r>
        <w:rPr>
          <w:rFonts w:ascii="Times New Roman" w:hAnsi="Times New Roman" w:eastAsia="仿宋_GB2312" w:cs="Times New Roman"/>
          <w:color w:val="000000" w:themeColor="text1"/>
          <w:kern w:val="2"/>
          <w:sz w:val="32"/>
          <w:szCs w:val="32"/>
          <w14:textFill>
            <w14:solidFill>
              <w14:schemeClr w14:val="tx1"/>
            </w14:solidFill>
          </w14:textFill>
        </w:rPr>
        <w:t>　展会投诉机构需要地方著作权行政管理部门协助的，地方著作权行政管理部门应当积极配合，参与展会知识产权保护工作。地方著作权行政管理部门在展会期间的工作可以包括：</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（一）接受展会投诉机构移交的关于涉嫌侵犯著作权的投诉，依照著作权法律法规的有关规定进行处理；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（二）受理符合著作权法第四十七条规定的侵犯著作权的投诉，根据著作权法的有关规定进行处罚。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第二十三条</w:t>
      </w:r>
      <w:r>
        <w:rPr>
          <w:rFonts w:ascii="Times New Roman" w:hAnsi="Times New Roman" w:eastAsia="仿宋_GB2312" w:cs="Times New Roman"/>
          <w:color w:val="000000" w:themeColor="text1"/>
          <w:kern w:val="2"/>
          <w:sz w:val="32"/>
          <w:szCs w:val="32"/>
          <w14:textFill>
            <w14:solidFill>
              <w14:schemeClr w14:val="tx1"/>
            </w14:solidFill>
          </w14:textFill>
        </w:rPr>
        <w:t>　地方著作权行政管理部门在受理投诉或请求后，可以采取以下手段收集证据：</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（一）查阅、复制与涉嫌侵权行为有关的文件档案、账簿和其他书面材料；</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（二）对涉嫌侵权复制品进行抽样取证；</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（三）对涉嫌侵权复制品进行登记保存。</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第六章　法律责任</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第二十四条　</w:t>
      </w:r>
      <w:r>
        <w:rPr>
          <w:rFonts w:ascii="Times New Roman" w:hAnsi="Times New Roman" w:eastAsia="仿宋_GB2312" w:cs="Times New Roman"/>
          <w:color w:val="000000" w:themeColor="text1"/>
          <w:kern w:val="2"/>
          <w:sz w:val="32"/>
          <w:szCs w:val="32"/>
          <w14:textFill>
            <w14:solidFill>
              <w14:schemeClr w14:val="tx1"/>
            </w14:solidFill>
          </w14:textFill>
        </w:rPr>
        <w:t>对涉嫌侵犯知识产权的投诉，地方知识产权行政管理部门认定侵权成立的，应会同会展管理部门依法对参展方进行处理。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第二十五条</w:t>
      </w:r>
      <w:r>
        <w:rPr>
          <w:rFonts w:ascii="Times New Roman" w:hAnsi="Times New Roman" w:eastAsia="仿宋_GB2312" w:cs="Times New Roman"/>
          <w:color w:val="000000" w:themeColor="text1"/>
          <w:kern w:val="2"/>
          <w:sz w:val="32"/>
          <w:szCs w:val="32"/>
          <w14:textFill>
            <w14:solidFill>
              <w14:schemeClr w14:val="tx1"/>
            </w14:solidFill>
          </w14:textFill>
        </w:rPr>
        <w:t>　对涉嫌侵犯发明或者实用新型专利权的处理请求，地方知识产权局认定侵权成立的，应当依据专利法第十一条第一款关于禁止许诺销售行为的规定以及专利法第五十七条关于责令侵权人立即停止侵权行为的规定作出处理决定，责令被请求人从展会上撤出侵权展品，销毁介绍侵权展品的宣传材料，更换介绍侵权项目的展板。</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对涉嫌侵犯外观设计专利权的处理请求，被请求人在展会上销售其展品，地方知识产权局认定侵权成立的，应当依据专利法第十一条第二款关于禁止销售行为的规定以及第五十七条关于责令侵权人立即停止侵权行为的规定作出处理决定，责令被请求人从展会上撤出侵权展品。</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第二十六条　</w:t>
      </w:r>
      <w:r>
        <w:rPr>
          <w:rFonts w:ascii="Times New Roman" w:hAnsi="Times New Roman" w:eastAsia="仿宋_GB2312" w:cs="Times New Roman"/>
          <w:color w:val="000000" w:themeColor="text1"/>
          <w:kern w:val="2"/>
          <w:sz w:val="32"/>
          <w:szCs w:val="32"/>
          <w14:textFill>
            <w14:solidFill>
              <w14:schemeClr w14:val="tx1"/>
            </w14:solidFill>
          </w14:textFill>
        </w:rPr>
        <w:t>在展会期间假冒他人专利或以非专利产品冒充专利产品，以非专利方法冒充专利方法的，地方知识产权局应当依据专利法第五十八条和第五十九条规定进行处罚。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第二十七条</w:t>
      </w:r>
      <w:r>
        <w:rPr>
          <w:rFonts w:ascii="Times New Roman" w:hAnsi="Times New Roman" w:eastAsia="仿宋_GB2312" w:cs="Times New Roman"/>
          <w:color w:val="000000" w:themeColor="text1"/>
          <w:kern w:val="2"/>
          <w:sz w:val="32"/>
          <w:szCs w:val="32"/>
          <w14:textFill>
            <w14:solidFill>
              <w14:schemeClr w14:val="tx1"/>
            </w14:solidFill>
          </w14:textFill>
        </w:rPr>
        <w:t>　对有关商标案件的处理请求，地方工商行政管理部门认定侵权成立的，应当根据《商标法》、《商标法实施条例》等相关规定进行处罚。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第二十八条</w:t>
      </w:r>
      <w:r>
        <w:rPr>
          <w:rFonts w:ascii="Times New Roman" w:hAnsi="Times New Roman" w:eastAsia="仿宋_GB2312" w:cs="Times New Roman"/>
          <w:color w:val="000000" w:themeColor="text1"/>
          <w:kern w:val="2"/>
          <w:sz w:val="32"/>
          <w:szCs w:val="32"/>
          <w14:textFill>
            <w14:solidFill>
              <w14:schemeClr w14:val="tx1"/>
            </w14:solidFill>
          </w14:textFill>
        </w:rPr>
        <w:t>　对侵犯著作权及相关权利的处理请求，地方著作权行政管理部门认定侵权成立的，应当根据著作权法第四十七条的规定进行处罚，没收、销毁侵权展品及介绍侵权展品的宣传材料，更换介绍展出项目的展板。</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第二十九条</w:t>
      </w:r>
      <w:r>
        <w:rPr>
          <w:rFonts w:ascii="Times New Roman" w:hAnsi="Times New Roman" w:eastAsia="仿宋_GB2312" w:cs="Times New Roman"/>
          <w:color w:val="000000" w:themeColor="text1"/>
          <w:kern w:val="2"/>
          <w:sz w:val="32"/>
          <w:szCs w:val="32"/>
          <w14:textFill>
            <w14:solidFill>
              <w14:schemeClr w14:val="tx1"/>
            </w14:solidFill>
          </w14:textFill>
        </w:rPr>
        <w:t>　经调查，被投诉或者被请求的展出项目已经由人民法院或者知识产权行政管理部门作出判定侵权成立的判决或者决定并发生法律效力的，地方知识产权行政管理部门可以直接作出第二十六条、第二十七条、第二十八条和第二十九条所述的处理决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第三十条</w:t>
      </w:r>
      <w:r>
        <w:rPr>
          <w:rFonts w:ascii="Times New Roman" w:hAnsi="Times New Roman" w:eastAsia="仿宋_GB2312" w:cs="Times New Roman"/>
          <w:color w:val="000000" w:themeColor="text1"/>
          <w:kern w:val="2"/>
          <w:sz w:val="32"/>
          <w:szCs w:val="32"/>
          <w14:textFill>
            <w14:solidFill>
              <w14:schemeClr w14:val="tx1"/>
            </w14:solidFill>
          </w14:textFill>
        </w:rPr>
        <w:t>　请求人除请求制止被请求人的侵权展出行为之外，还请求制止同一被请求人的其他侵犯知识产权行为的，地方知识产权行政管理部门对发生在其管辖地域之内的涉嫌侵权行为，可以依照相关知识产权法律法规以及规章的规定进行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第三十一条</w:t>
      </w:r>
      <w:r>
        <w:rPr>
          <w:rFonts w:ascii="Times New Roman" w:hAnsi="Times New Roman" w:eastAsia="仿宋_GB2312" w:cs="Times New Roman"/>
          <w:color w:val="000000" w:themeColor="text1"/>
          <w:kern w:val="2"/>
          <w:sz w:val="32"/>
          <w:szCs w:val="32"/>
          <w14:textFill>
            <w14:solidFill>
              <w14:schemeClr w14:val="tx1"/>
            </w14:solidFill>
          </w14:textFill>
        </w:rPr>
        <w:t>　参展方侵权成立的，展会管理部门可依法对有关参展方予以公告；参展方连续两次以上侵权行为成立的，展会主办方应禁止有关参展方参加下一届展会。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第三十二条</w:t>
      </w:r>
      <w:r>
        <w:rPr>
          <w:rFonts w:ascii="Times New Roman" w:hAnsi="Times New Roman" w:eastAsia="仿宋_GB2312" w:cs="Times New Roman"/>
          <w:color w:val="000000" w:themeColor="text1"/>
          <w:kern w:val="2"/>
          <w:sz w:val="32"/>
          <w:szCs w:val="32"/>
          <w14:textFill>
            <w14:solidFill>
              <w14:schemeClr w14:val="tx1"/>
            </w14:solidFill>
          </w14:textFill>
        </w:rPr>
        <w:t>　主办方对展会知识产权保护不力的，展会管理部门应对主办方给予警告，并视情节依法对其再次举办相关展会的申请不予批准。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hint="eastAsia"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第七章　附</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第三十三条</w:t>
      </w:r>
      <w:r>
        <w:rPr>
          <w:rFonts w:ascii="Times New Roman" w:hAnsi="Times New Roman" w:eastAsia="仿宋_GB2312" w:cs="Times New Roman"/>
          <w:color w:val="000000" w:themeColor="text1"/>
          <w:kern w:val="2"/>
          <w:sz w:val="32"/>
          <w:szCs w:val="32"/>
          <w14:textFill>
            <w14:solidFill>
              <w14:schemeClr w14:val="tx1"/>
            </w14:solidFill>
          </w14:textFill>
        </w:rPr>
        <w:t>　展会结束时案件尚未处理完毕的，案件的有关事实和证据可经展会主办方确认，由展会举办地知识产权行政管理部门在</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Times New Roman" w:eastAsia="仿宋_GB2312" w:cs="Times New Roman"/>
          <w:color w:val="000000" w:themeColor="text1"/>
          <w:kern w:val="2"/>
          <w:sz w:val="32"/>
          <w:szCs w:val="32"/>
          <w14:textFill>
            <w14:solidFill>
              <w14:schemeClr w14:val="tx1"/>
            </w14:solidFill>
          </w14:textFill>
        </w:rPr>
        <w:t>个工作日内移交有管辖权的知识产权行政管理部门依法处理。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第三十四条</w:t>
      </w:r>
      <w:r>
        <w:rPr>
          <w:rFonts w:ascii="Times New Roman" w:hAnsi="Times New Roman" w:eastAsia="仿宋_GB2312" w:cs="Times New Roman"/>
          <w:color w:val="000000" w:themeColor="text1"/>
          <w:kern w:val="2"/>
          <w:sz w:val="32"/>
          <w:szCs w:val="32"/>
          <w14:textFill>
            <w14:solidFill>
              <w14:schemeClr w14:val="tx1"/>
            </w14:solidFill>
          </w14:textFill>
        </w:rPr>
        <w:t>　本办法中的知识产权行政管理部门是指专利、商标和版权行政管理部门；本办法中的展会管理部门是指展会的审批或者登记部门。</w:t>
      </w:r>
    </w:p>
    <w:p>
      <w:pPr>
        <w:pStyle w:val="7"/>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第三十五条</w:t>
      </w:r>
      <w:r>
        <w:rPr>
          <w:rFonts w:ascii="Times New Roman" w:hAnsi="Times New Roman" w:eastAsia="仿宋_GB2312" w:cs="Times New Roman"/>
          <w:color w:val="000000" w:themeColor="text1"/>
          <w:kern w:val="2"/>
          <w:sz w:val="32"/>
          <w:szCs w:val="32"/>
          <w14:textFill>
            <w14:solidFill>
              <w14:schemeClr w14:val="tx1"/>
            </w14:solidFill>
          </w14:textFill>
        </w:rPr>
        <w:t>　本办法自</w:t>
      </w:r>
      <w:r>
        <w:rPr>
          <w:rFonts w:ascii="Times New Roman" w:hAnsi="Times New Roman" w:eastAsia="仿宋_GB2312" w:cs="Times New Roman"/>
          <w:color w:val="000000" w:themeColor="text1"/>
          <w:kern w:val="2"/>
          <w:sz w:val="32"/>
          <w:szCs w:val="32"/>
          <w14:textFill>
            <w14:solidFill>
              <w14:schemeClr w14:val="tx1"/>
            </w14:solidFill>
          </w14:textFill>
        </w:rPr>
        <w:t>2006</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日起实施。</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86660C"/>
    <w:rsid w:val="04B679C3"/>
    <w:rsid w:val="054850FF"/>
    <w:rsid w:val="062E5B7F"/>
    <w:rsid w:val="0737795B"/>
    <w:rsid w:val="080F63D8"/>
    <w:rsid w:val="08AD5BDC"/>
    <w:rsid w:val="09341458"/>
    <w:rsid w:val="0A1F42D0"/>
    <w:rsid w:val="0A5E51A8"/>
    <w:rsid w:val="0AAF1847"/>
    <w:rsid w:val="0AE572A2"/>
    <w:rsid w:val="0B0912D7"/>
    <w:rsid w:val="0B680A2B"/>
    <w:rsid w:val="0C5662DC"/>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157652"/>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1F701B"/>
    <w:rsid w:val="1F310D9C"/>
    <w:rsid w:val="1F361A96"/>
    <w:rsid w:val="1F935EFC"/>
    <w:rsid w:val="1FDD694B"/>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8E452E6"/>
    <w:rsid w:val="395347B5"/>
    <w:rsid w:val="39A232A0"/>
    <w:rsid w:val="39BE0417"/>
    <w:rsid w:val="39E745AA"/>
    <w:rsid w:val="3A4355A5"/>
    <w:rsid w:val="3B0567AE"/>
    <w:rsid w:val="3B5A6BBB"/>
    <w:rsid w:val="3C70398D"/>
    <w:rsid w:val="3D3D7BCC"/>
    <w:rsid w:val="3D4E137F"/>
    <w:rsid w:val="3D810E9E"/>
    <w:rsid w:val="3DA2013A"/>
    <w:rsid w:val="3DB91FA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8C15D65"/>
    <w:rsid w:val="492B6619"/>
    <w:rsid w:val="49D0319A"/>
    <w:rsid w:val="49D91622"/>
    <w:rsid w:val="4A9F72BE"/>
    <w:rsid w:val="4AC64D68"/>
    <w:rsid w:val="4B1C2BC5"/>
    <w:rsid w:val="4B240433"/>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A3175"/>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3447D1"/>
    <w:rsid w:val="72AA4C07"/>
    <w:rsid w:val="72B90259"/>
    <w:rsid w:val="72F97425"/>
    <w:rsid w:val="731A04F4"/>
    <w:rsid w:val="736032BE"/>
    <w:rsid w:val="74346376"/>
    <w:rsid w:val="746653F9"/>
    <w:rsid w:val="76395437"/>
    <w:rsid w:val="773C7ABF"/>
    <w:rsid w:val="77487035"/>
    <w:rsid w:val="79740ADD"/>
    <w:rsid w:val="7A2E70A7"/>
    <w:rsid w:val="7B004F63"/>
    <w:rsid w:val="7B005E1C"/>
    <w:rsid w:val="7B503B39"/>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unhideWhenUsed/>
    <w:qFormat/>
    <w:uiPriority w:val="99"/>
    <w:pPr>
      <w:autoSpaceDE w:val="0"/>
      <w:autoSpaceDN w:val="0"/>
    </w:pPr>
    <w:rPr>
      <w:rFonts w:ascii="宋体" w:hAnsi="宋体" w:eastAsia="宋体" w:cs="宋体"/>
      <w:sz w:val="30"/>
      <w:szCs w:val="30"/>
      <w:lang w:eastAsia="en-US"/>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7">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3847</Words>
  <Characters>3859</Characters>
  <Lines>63</Lines>
  <Paragraphs>17</Paragraphs>
  <TotalTime>2</TotalTime>
  <ScaleCrop>false</ScaleCrop>
  <LinksUpToDate>false</LinksUpToDate>
  <CharactersWithSpaces>4178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2022-09-17T14:51:02Z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0C7C2C658DA440BBA068DB8AAE589F1E</vt:lpwstr>
  </property>
</Properties>
</file>