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auto"/>
          <w:kern w:val="2"/>
          <w:sz w:val="44"/>
          <w:szCs w:val="44"/>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auto"/>
          <w:kern w:val="2"/>
          <w:sz w:val="44"/>
          <w:szCs w:val="44"/>
        </w:rPr>
      </w:pPr>
      <w:r>
        <w:rPr>
          <w:rStyle w:val="9"/>
          <w:rFonts w:hint="default" w:ascii="Times New Roman" w:hAnsi="Times New Roman" w:eastAsia="方正小标宋简体" w:cs="Times New Roman"/>
          <w:b w:val="0"/>
          <w:bCs w:val="0"/>
          <w:color w:val="auto"/>
          <w:kern w:val="2"/>
          <w:sz w:val="44"/>
          <w:szCs w:val="44"/>
        </w:rPr>
        <w:t>市场监督管理严重违法失信名单管理办法</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auto"/>
          <w:kern w:val="2"/>
          <w:sz w:val="44"/>
          <w:szCs w:val="44"/>
        </w:rPr>
      </w:pP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color w:val="auto"/>
          <w:kern w:val="2"/>
          <w:sz w:val="32"/>
          <w:szCs w:val="32"/>
        </w:rPr>
      </w:pPr>
      <w:bookmarkStart w:id="0" w:name="_GoBack"/>
      <w:r>
        <w:rPr>
          <w:rFonts w:hint="default" w:ascii="Times New Roman" w:hAnsi="Times New Roman" w:eastAsia="楷体_GB2312" w:cs="Times New Roman"/>
          <w:color w:val="auto"/>
          <w:kern w:val="2"/>
          <w:sz w:val="32"/>
          <w:szCs w:val="32"/>
        </w:rPr>
        <w:t>（2021年7月30日国家市场监督管理总局令第44号公布）</w:t>
      </w:r>
    </w:p>
    <w:bookmarkEnd w:id="0"/>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textAlignment w:val="auto"/>
        <w:outlineLvl w:val="0"/>
        <w:rPr>
          <w:rFonts w:hint="eastAsia" w:ascii="Times New Roman" w:hAnsi="Times New Roman" w:eastAsia="楷体_GB2312" w:cs="Times New Roman"/>
          <w:color w:val="auto"/>
          <w:kern w:val="2"/>
          <w:sz w:val="32"/>
          <w:szCs w:val="32"/>
          <w:lang w:eastAsia="zh-CN"/>
        </w:rPr>
      </w:pPr>
      <w:r>
        <w:rPr>
          <w:rFonts w:hint="eastAsia" w:ascii="Times New Roman" w:hAnsi="Times New Roman" w:eastAsia="楷体_GB2312" w:cs="Times New Roman"/>
          <w:color w:val="auto"/>
          <w:kern w:val="2"/>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第一条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为了规范市场监督管理部门严重违法失信名单管理，强化信用监管，扩大社会监督，促进诚信自律，依照有关法律、行政法规，制定本办法。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当事人违反法律、行政法规，性质恶劣、情节严重、社会危害较大，受到市场监督管理部门较重行政处罚的，由市场监督管理部门依照本办法规定列入严重违法失信名单，通过国家企业信用信息公示系统公示，并实施相应管理措施。</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前款所称较重行政处罚包括：</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（一）依照行政处罚裁量基准，按照从重处罚原则处以罚款；</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（二）降低资质等级，吊销许可证件、营业执照；</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（三）限制开展生产经营活动、责令停产停业、责令关闭、限制从业；</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（四）法律、行政法规和部门规章规定的其他较重行政处罚。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第三条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国家市场监督管理总局负责组织、指导全国的严重违法失信名单管理工作。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县级以上地方市场监督管理部门依照本办法规定负责严重违法失信名单管理工作。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第四条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市场监督管理部门应当按照规定将严重违法失信名单信息与其他有关部门共享，依照法律、行政法规和党中央、国务院政策文件实施联合惩戒。</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第五条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实施下列食品安全领域违法行为，且属于本办法第二条规定情形的，列入严重违法失信名单（食品安全严重违法生产经营者黑名单）：</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（一）未依法取得食品生产经营许可从事食品生产经营活动；</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用非食品原料生产食品；在食品中添加食品添加剂以外的化学物质和其他可能危害人体健康的物质；生产经营营养成分不符合食品安全标准的专供婴幼儿和其他特定人群的主辅食品；生产经营添加药品的食品；生产经营病死、毒死或者死因不明的禽、畜、兽、水产动物肉类及其制品；生产经营未按规定进行检疫或者检疫不合格的肉类；生产经营国家为防病等特殊需要明令禁止生产经营的食品；</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生产经营致病性微生物，农药残留、兽药残留、生物毒素、重金属等污染物质以及其他危害人体健康的物质含量超过食品安全标准限量的食品、食品添加剂；生产经营用超过保质期的食品原料、食品添加剂生产的食品、食品添加剂；生产经营未按规定注册的保健食品、特殊医学用途配方食品、婴幼儿配方乳粉，或者未按注册的产品配方、生产工艺等技术要求组织生产；生产经营的食品标签、说明书含有虚假内容，涉及疾病预防、治疗功能，或者生产经营保健食品之外的食品的标签、说明书声称具有保健功能；</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（四）其他违反食品安全法律、行政法规规定，严重危害人民群众身体健康和生命安全的违法行为。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第六条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实施下列药品、医疗器械、化妆品领域违法行为，且属于本办法第二条规定情形的，列入严重违法失信名单：</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（一）生产销售假药、劣药；违法生产、销售国家有特殊管理要求的药品（含疫苗）；生产、进口、销售未取得药品批准证明文件的药品（含疫苗）；</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（二）生产、销售未经注册的第二、三类医疗器械；</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（三）生产、销售非法添加可能危害人体健康物质的化妆品；</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（四）其他违反药品、医疗器械、化妆品法律、行政法规规定，严重危害人民群众身体健康和生命安全的违法行为。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第七条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实施下列质量安全领域违法行为，且属于本办法第二条规定情形的，列入严重违法失信名单：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（一）生产、销售、出租、使用未取得生产许可、国家明令淘汰、已经报废、未经检验或者检验不合格的特种设备；对不符合安全技术规范要求的移动式压力容器和气瓶进行充装；</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（二）生产销售不符合保障身体健康和生命安全的国家标准的产品，在产品中掺杂、掺假，以假充真、以次充好，或者以不合格产品冒充合格产品，生产销售国家明令淘汰的产品；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（三）产品质量监督抽查不合格，受到省级以上人民政府市场监督管理部门公告，经公告后复查仍不合格；</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（四）出具虚假或者严重失实的检验、检测、认证、认可结论，严重危害质量安全；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（五）伪造、冒用、买卖认证标志或者认证证书；未经认证擅自出厂、销售、进口或者在其他经营性活动中使用被列入强制性产品认证目录内的产品；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（六）其他违反质量安全领域法律、行政法规规定，严重危害人民群众身体健康和生命安全的违法行为。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第八条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实施下列侵害消费者权益的违法行为，且属于本办法第二条规定情形的，列入严重违法失信名单：</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（一）侵害消费者人格尊严、个人信息依法得到保护等权利；</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（二）预收费用后为逃避或者拒绝履行义务，关门停业或者迁移服务场所，未按照约定提供商品或者服务，且被市场监督管理部门确认为无法取得联系；</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（三）制造、销售、使用以欺骗消费者为目的的计量器具；抄袭、串通、篡改计量比对数据，伪造数据、出具虚假计量校准证书或者报告，侵害消费者权益；</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（四）经责令召回仍拒绝或者拖延实施缺陷产品召回；</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（五）其他违反法律、行政法规规定，严重侵害消费者权益的违法行为。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第九条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实施下列破坏公平竞争秩序和扰乱市场秩序的违法行为，且属于本办法第二条规定情形的，列入严重违法失信名单：</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（一）侵犯商业秘密、商业诋毁、组织虚假交易等严重破坏公平竞争秩序的不正当竞争行为；</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（二）故意侵犯知识产权；提交非正常专利申请、恶意商标注册申请损害社会公共利益；从事严重违法专利、商标代理行为；</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（三）价格串通、低价倾销、哄抬价格；对关系国计民生的商品或者服务不执行政府定价、政府指导价，不执行为应对突发事件采取的价格干预措施、紧急措施；</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（四）组织、策划传销或者为传销提供便利条件；</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（五）发布关系消费者生命健康的商品或者服务的虚假广告；</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default" w:ascii="Times New Roman" w:hAnsi="Times New Roman" w:eastAsia="仿宋" w:cs="Times New Roman"/>
          <w:color w:val="auto"/>
          <w:sz w:val="32"/>
          <w:szCs w:val="32"/>
        </w:rPr>
      </w:pPr>
      <w:r>
        <w:rPr>
          <w:rFonts w:hint="default" w:ascii="Times New Roman" w:hAnsi="Times New Roman" w:eastAsia="仿宋_GB2312" w:cs="Times New Roman"/>
          <w:color w:val="auto"/>
          <w:sz w:val="32"/>
          <w:szCs w:val="32"/>
        </w:rPr>
        <w:t>（六）其他违反法律、行政法规规定，严重破坏公平竞争秩序和扰乱市场秩序的违法行为。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实施下列违法行为，且属于本办法第二条规定情形的，列入严重违法失信名单：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（一）未依法取得其他许可从事经营活动；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（二）提交虚假材料或者采取其他手段隐瞒重要事实，取得行政许可，取得、变更或者注销市场主体登记，或者涂改、倒卖、出租、出售许可证件、营业执照；</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（三）拒绝、阻碍、干扰市场监督管理部门依法开展监督检查和事故调查。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第十一条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当事人在市场监督管理部门作出行政处罚、行政裁决等行政决定后，有履行能力但拒不履行、逃避执行等，严重影响市场监督管理部门公信力的，列入严重违法失信名单。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法律、行政法规和党中央、国务院政策文件对市场主体相关责任人员列入严重违法失信名单有规定的，依照其规定。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第十二条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市场监督管理部门判断违法行为是否属于性质恶劣、情节严重、社会危害较大的情形，应当综合考虑主观恶意、违法频次、持续时间、处罚类型、罚没款数额、产品货值金额、对人民群众生命健康的危害、财产损失和社会影响等因素。</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 w:cs="Times New Roman"/>
          <w:color w:val="auto"/>
          <w:sz w:val="32"/>
          <w:szCs w:val="32"/>
        </w:rPr>
        <w:t>　　</w:t>
      </w:r>
      <w:r>
        <w:rPr>
          <w:rFonts w:hint="default" w:ascii="Times New Roman" w:hAnsi="Times New Roman" w:eastAsia="仿宋_GB2312" w:cs="Times New Roman"/>
          <w:color w:val="auto"/>
          <w:sz w:val="32"/>
          <w:szCs w:val="32"/>
        </w:rPr>
        <w:t>当事人有证据足以证明没有主观故意的，不列入严重违法失信名单。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第十三条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市场监督管理部门在作出行政处罚决定时应当对是否列入严重违法失信名单作出决定。列入决定书应当载明事由、依据、惩戒措施提示、移出条件和程序以及救济措施等。在作出列入决定前，应当告知当事人作出决定的事由、依据和当事人依法享有的权利。告知、听证、送达、异议处理等程序应当与行政处罚程序一并实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依照前款规定作出列入严重违法失信名单决定的，严重违法失信名单管理工作由作出行政处罚的市场监督管理部门负责。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因本办法第十一条规定的情形列入严重违法失信名单的，可以单独作出列入决定。告知、听证、送达、异议处理等程序应当参照行政处罚程序实施。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第十四条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作出列入决定的市场监督管理部门和当事人登记地（住所地）在同一省、自治区、直辖市的，作出列入决定的市场监督管理部门应当自作出决定之日起二十个工作日内将相关信息通过国家企业信用信息公示系统进行公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作出列入决定的市场监督管理部门和当事人登记地（住所地）不在同一省、自治区、直辖市的，作出列入决定的市场监督管理部门应当自作出决定之日起十个工作日内将列入严重违法失信名单信息推送至当事人登记地（住所地）市场监督管理部门，由其协助在收到信息之日起十个工作日内通过国家企业信用信息公示系统进行公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第十五条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市场监督管理部门对被列入严重违法失信名单的当事人实施下列管理措施：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（一）依据法律、行政法规和党中央、国务院政策文件，在审查行政许可、资质、资格、委托承担政府采购项目、工程招投标时作为重要考量因素；</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（二）列为重点监管对象，提高检查频次，依法严格监管；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（三）不适用告知承诺制；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（四）不予授予市场监督管理部门荣誉称号等表彰奖励；</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（五）法律、行政法规和党中央、国务院政策文件规定的其他管理措施。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第十六条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当事人被列入严重违法失信名单满一年，且符合下列条件的，可以依照本办法规定向市场监督管理部门申请提前移出：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（一）已经自觉履行行政处罚决定中规定的义务；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（二）已经主动消除危害后果和不良影响；</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（三）未再受到市场监督管理部门较重行政处罚。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 w:cs="Times New Roman"/>
          <w:color w:val="auto"/>
          <w:sz w:val="32"/>
          <w:szCs w:val="32"/>
        </w:rPr>
        <w:t>　　</w:t>
      </w:r>
      <w:r>
        <w:rPr>
          <w:rFonts w:hint="default" w:ascii="Times New Roman" w:hAnsi="Times New Roman" w:eastAsia="仿宋_GB2312" w:cs="Times New Roman"/>
          <w:color w:val="auto"/>
          <w:sz w:val="32"/>
          <w:szCs w:val="32"/>
        </w:rPr>
        <w:t>依照法律、行政法规规定，实施相应管理措施期限尚未届满的，不得申请提前移出。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第十七条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当事人申请提前移出的，应当提交申请书，守信承诺书，履行本办法第十六条第一款第一项、第二项规定义务的相关材料，说明事实、理由。</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市场监督管理部门应当自收到申请之日起二个工作日内作出是否受理的决定。申请材料齐全、符合法定形式的，应当予以受理。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市场监督管理部门应当自受理之日起十五个工作日内对申请进行核实，并决定是否予以移出。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 w:cs="Times New Roman"/>
          <w:color w:val="auto"/>
          <w:sz w:val="32"/>
          <w:szCs w:val="32"/>
        </w:rPr>
      </w:pPr>
      <w:r>
        <w:rPr>
          <w:rFonts w:hint="default" w:ascii="Times New Roman" w:hAnsi="Times New Roman" w:eastAsia="黑体" w:cs="Times New Roman"/>
          <w:color w:val="auto"/>
          <w:sz w:val="32"/>
          <w:szCs w:val="32"/>
        </w:rPr>
        <w:t>　　第十八条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市场监督管理部门决定移出的，应当于三个工作日内停止公示相关信息，并解除相关管理措施。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第十九条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列入严重违法失信名单所依据的行政处罚被撤销、确认违法或者无效的，市场监督管理部门应当撤销对当事人的列入决定，于三个工作日内停止公示相关信息，并解除相关管理措施。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第二十条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申请移出的当事人故意隐瞒真实情况、提供虚假资料，情节严重的，由市场监督管理部门撤销移出决定，恢复列入状态。公示期重新计算。</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第二十一条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当事人被列入严重违法失信名单之日起满三年的，由列入严重违法失信名单的市场监督管理部门移出，停止公示相关信息，并解除相关管理措施。依照法律法规实施限制开展生产经营活动、限制从业等措施超过三年的，按照实际限制期限执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第二十二条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县级、设区的市级市场监督管理部门作出列入严重违法失信名单决定的，应当报经上一级市场监督管理部门同意。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 w:cs="Times New Roman"/>
          <w:color w:val="auto"/>
          <w:sz w:val="32"/>
          <w:szCs w:val="32"/>
        </w:rPr>
      </w:pPr>
      <w:r>
        <w:rPr>
          <w:rFonts w:hint="default" w:ascii="Times New Roman" w:hAnsi="Times New Roman" w:eastAsia="黑体" w:cs="Times New Roman"/>
          <w:color w:val="auto"/>
          <w:sz w:val="32"/>
          <w:szCs w:val="32"/>
        </w:rPr>
        <w:t>　　第二十三条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当事人对被列入、移出严重违法失信名单的决定不服的，可以依法申请行政复议或者提起行政诉讼。</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第二十四条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仿宋_GB2312" w:cs="Times New Roman"/>
          <w:color w:val="auto"/>
          <w:sz w:val="32"/>
          <w:szCs w:val="32"/>
          <w:lang w:eastAsia="zh-CN"/>
        </w:rPr>
        <w:t xml:space="preserve"> </w:t>
      </w:r>
      <w:r>
        <w:rPr>
          <w:rFonts w:hint="default" w:ascii="Times New Roman" w:hAnsi="Times New Roman" w:eastAsia="仿宋_GB2312" w:cs="Times New Roman"/>
          <w:color w:val="auto"/>
          <w:sz w:val="32"/>
          <w:szCs w:val="32"/>
        </w:rPr>
        <w:t>市场监督管理部门对收到的人民法院生效法律文书，根据法律、行政法规和党中央、国务院政策文件需要实施严重违法失信名单管理的，参照本办法执行。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第二十五条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药品监督管理部门、知识产权管理部门严重违法失信名单管理适用本办法。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第二十六条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本办法自2021年9月1日起施行。2015年12月30日原国家工商行政管理总局令第83号公布的《严重违法失信企业名单管理暂行办法》同时废止。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15B3A6B"/>
    <w:rsid w:val="152D2DCA"/>
    <w:rsid w:val="1B22708A"/>
    <w:rsid w:val="1DEC284C"/>
    <w:rsid w:val="1E6523AC"/>
    <w:rsid w:val="1F361A96"/>
    <w:rsid w:val="22440422"/>
    <w:rsid w:val="236E69A3"/>
    <w:rsid w:val="25117842"/>
    <w:rsid w:val="27FA06B1"/>
    <w:rsid w:val="2DC646A7"/>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10</Pages>
  <Words>4243</Words>
  <Characters>4257</Characters>
  <Lines>63</Lines>
  <Paragraphs>17</Paragraphs>
  <TotalTime>6</TotalTime>
  <ScaleCrop>false</ScaleCrop>
  <LinksUpToDate>false</LinksUpToDate>
  <CharactersWithSpaces>4412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2022-09-17T15:45:04Z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