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ascii="Times New Roman" w:hAnsi="Times New Roman" w:eastAsia="方正小标宋简体" w:cs="方正小标宋简体"/>
          <w:i w:val="0"/>
          <w:iCs w:val="0"/>
          <w:caps w:val="0"/>
          <w:color w:val="auto"/>
          <w:spacing w:val="0"/>
          <w:kern w:val="0"/>
          <w:sz w:val="44"/>
          <w:szCs w:val="44"/>
          <w:shd w:val="clear" w:color="auto" w:fill="FFFFFF"/>
          <w:lang w:val="en-US" w:eastAsia="zh-CN" w:bidi="ar"/>
        </w:rPr>
      </w:pPr>
      <w:bookmarkStart w:id="2" w:name="_GoBack"/>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ascii="Times New Roman" w:hAnsi="Times New Roman"/>
          <w:color w:val="auto"/>
          <w:lang w:val="en-US" w:eastAsia="zh-CN"/>
        </w:rPr>
      </w:pPr>
      <w:bookmarkStart w:id="0" w:name="_Toc803349542"/>
      <w:bookmarkStart w:id="1" w:name="_Toc7912"/>
      <w:r>
        <w:rPr>
          <w:rFonts w:ascii="Times New Roman" w:hAnsi="Times New Roman"/>
          <w:color w:val="auto"/>
          <w:lang w:val="en-US" w:eastAsia="zh-CN"/>
        </w:rPr>
        <w:t>市场监督管理行政处罚程序规定</w:t>
      </w:r>
      <w:bookmarkEnd w:id="0"/>
      <w:bookmarkEnd w:id="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Times New Roman" w:hAnsi="Times New Roman" w:eastAsia="楷体_GB2312" w:cs="楷体_GB2312"/>
          <w:i w:val="0"/>
          <w:iCs w:val="0"/>
          <w:caps w:val="0"/>
          <w:color w:val="auto"/>
          <w:spacing w:val="0"/>
          <w:sz w:val="32"/>
          <w:szCs w:val="32"/>
        </w:rPr>
      </w:pPr>
      <w:r>
        <w:rPr>
          <w:rFonts w:hint="eastAsia" w:ascii="Times New Roman" w:hAnsi="Times New Roman" w:eastAsia="楷体_GB2312" w:cs="楷体_GB2312"/>
          <w:i w:val="0"/>
          <w:iCs w:val="0"/>
          <w:caps w:val="0"/>
          <w:color w:val="auto"/>
          <w:spacing w:val="0"/>
          <w:kern w:val="0"/>
          <w:sz w:val="32"/>
          <w:szCs w:val="32"/>
          <w:shd w:val="clear" w:color="auto" w:fill="FFFFFF"/>
          <w:lang w:val="en-US" w:eastAsia="zh-CN" w:bidi="ar"/>
        </w:rPr>
        <w:t xml:space="preserve">（2018年12月21日国家市场监督管理总局令第2号公布  根据2021年7月2日国家市场监督管理总局令第42号第一次修正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根据2022年9月29日国家市场监督管理总局令第61号第二次修正</w:t>
      </w:r>
      <w:r>
        <w:rPr>
          <w:rFonts w:hint="eastAsia" w:ascii="Times New Roman" w:hAnsi="Times New Roman" w:eastAsia="楷体_GB2312" w:cs="楷体_GB2312"/>
          <w:i w:val="0"/>
          <w:iCs w:val="0"/>
          <w:caps w:val="0"/>
          <w:color w:val="auto"/>
          <w:spacing w:val="0"/>
          <w:kern w:val="0"/>
          <w:sz w:val="32"/>
          <w:szCs w:val="32"/>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r>
        <w:rPr>
          <w:rFonts w:ascii="Times New Roman" w:hAnsi="Times New Roman" w:eastAsia="黑体" w:cs="黑体"/>
          <w:i w:val="0"/>
          <w:iCs w:val="0"/>
          <w:caps w:val="0"/>
          <w:color w:val="auto"/>
          <w:spacing w:val="0"/>
          <w:kern w:val="0"/>
          <w:sz w:val="32"/>
          <w:szCs w:val="32"/>
          <w:shd w:val="clear" w:color="auto" w:fill="FFFFFF"/>
          <w:lang w:val="en-US" w:eastAsia="zh-CN" w:bidi="ar"/>
        </w:rPr>
        <w:t>第一章</w:t>
      </w: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 xml:space="preserve">  总    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为了规范市场监督管理行政处罚程序，保障市场监督管理部门依法实施行政处罚，保护自然人、法人和其他组织的合法权益，根据《中华人民共和国行政处罚法》《中华人民共和国行政强制法》等法律、行政法规，制定本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市场监督管理部门实施行政处罚，适用本规定。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市场监督管理部门实施行政处罚，应当遵循公正、公开的原则，坚持处罚与教育相结合，做到事实清楚、证据确凿、适用依据正确、程序合法、处罚适当。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实施行政处罚实行回避制度。参与案件办理的有关人员与案件有直接利害关系或者有其他关系可能影响公正执法的，应当回避。市场监督管理部门主要负责人的回避，由市场监督管理部门负责人集体讨论决定；市场监督管理部门其他负责人的回避，由市场监督管理部门主要负责人决定；其他有关人员的回避，由市场监督管理部门负责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回避决定作出之前，不停止案件调查。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市场监督管理部门及参与案件办理的有关人员对实施行政处罚过程中知悉的国家秘密、商业秘密和个人隐私应当依法予以保密。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上级市场监督管理部门对下级市场监督管理部门实施行政处罚，应当加强监督。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各级市场监督管理部门对本部门内设机构及其派出机构、受委托组织实施行政处罚，应当加强监督。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第二章　管    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行政处罚由违法行为发生地的县级以上市场监督管理部门管辖。法律、行政法规、部门规章另有规定的，从其规定。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县级、设区的市级市场监督管理部门依职权管辖本辖区内发生的行政处罚案件。法律、法规、规章规定由省级以上市场监督管理部门管辖的，从其规定。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市场监督管理部门派出机构在本部门确定的权限范围内以本部门的名义实施行政处罚，法律、法规授权以派出机构名义实施行政处罚的除外。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县级以上市场监督管理部门可以在法定权限内书面委托符合《中华人民共和国行政处罚法》规定条件的组织实施行政处罚。受委托组织在委托范围内，以委托行政机关名义实施行政处罚；不得再委托其他任何组织或者个人实施行政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委托书应当载明委托的具体事项、权限、期限等内容。委托行政机关和受委托组织应当将委托书向社会公布。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网络交易平台经营者和通过自建网站、其他网络服务销售商品或者提供服务的网络交易经营者的违法行为由其住所地县级以上市场监督管理部门管辖。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平台内经营者的违法行为由其实际经营地县级以上市场监督管理部门管辖。网络交易平台经营者住所地县级以上市场监督管理部门先行发现违法线索或者收到投诉、举报的，也可以进行管辖。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利用广播、电影、电视、报纸、期刊、互联网等大众传播媒介发布违法广告的行为实施行政处罚，由广告发布者所在地市场监督管理部门管辖。广告发布者所在地市场监督管理部门管辖异地广告主、广告经营者有困难的，可以将广告主、广告经营者的违法情况移送广告主、广告经营者所在地市场监督管理部门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对于互联网广告违法行为，广告主所在地、广告经营者所在地市场监督管理部门先行发现违法线索或者收到投诉、举报的，也可以进行管辖。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对广告主自行发布违法互联网广告的行为实施行政处罚，由广告主所在地市场监督管理部门管辖。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对当事人的同一违法行为，两个以上市场监督管理部门都有管辖权的，由最先立案的市场监督管理部门管辖。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两个以上市场监督管理部门因管辖权发生争议的，应当自发生争议之日起七个工作日内协商解决，协商不成的，报请共同的上一级市场监督管理部门指定管辖；也可以直接由共同的上一级市场监督管理部门指定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发现立案查处的案件不属于本部门管辖的，应当将案件移送有管辖权的市场监督管理部门。受移送的市场监督管理部门对管辖权有异议的，应当报请共同的上一级市场监督管理部门指定管辖，不得再自行移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上级市场监督管理部门认为必要时，可以将本部门管辖的案件交由下级市场监督管理部门管辖。法律、法规、规章明确规定案件应当由上级市场监督管理部门管辖的，上级市场监督管理部门不得将案件交由下级市场监督管理部门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上级市场监督管理部门认为必要时，可以直接查处下级市场监督管理部门管辖的案件，也可以将下级市场监督管理部门管辖的案件指定其他下级市场监督管理部门管辖。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下级市场监督管理部门认为依法由其管辖的案件存在特殊原因，难以办理的，可以报请上一级市场监督管理部门管辖或者指定管辖。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报请上一级市场监督管理部门管辖或者指定管辖的，上一级市场监督管理部门应当在收到报送材料之日起七个工作日内确定案件的管辖部门。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市场监督管理部门发现立案查处的案件属于其他行政管理部门管辖的，应当及时依法移送其他有关部门。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市场监督管理部门发现违法行为涉嫌犯罪的，应当及时将案件移送司法机关，并对涉案物品以及与案件有关的其他材料依照有关规定办理交接手续。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第三章　行政处罚的普通程序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法律、法规、规章另有规定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检测、检验、检疫、鉴定以及权利人辨认或者鉴别等所需时间，不计入前款规定期限。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第十九条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经核查，符合下列条件的，应当立案：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（一）有证据初步证明存在违反市场监督管理法律、法规、规章的行为；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（二）依据市场监督管理法律、法规、规章应当给予行政处罚；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（三）属于本部门管辖；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（四）在给予行政处罚的法定期限内。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sz w:val="32"/>
          <w:szCs w:val="32"/>
          <w:shd w:val="clear" w:color="auto" w:fill="FFFFFF"/>
        </w:rPr>
        <w:t>决定立案的，应当填写立案审批表，由办案机构负责人指定两名以上具有行政执法资格的办案人员负责调查处理。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sz w:val="32"/>
          <w:szCs w:val="32"/>
          <w:shd w:val="clear" w:color="auto" w:fill="FFFFFF"/>
        </w:rPr>
        <w:t>第二十条</w:t>
      </w:r>
      <w:r>
        <w:rPr>
          <w:rFonts w:hint="eastAsia" w:ascii="Times New Roman" w:hAnsi="Times New Roman" w:eastAsia="方正黑体_GBK" w:cs="方正黑体_GBK"/>
          <w:i w:val="0"/>
          <w:iCs w:val="0"/>
          <w:caps w:val="0"/>
          <w:color w:val="auto"/>
          <w:spacing w:val="0"/>
          <w:sz w:val="32"/>
          <w:szCs w:val="32"/>
          <w:shd w:val="clear" w:color="auto" w:fill="FFFFFF"/>
        </w:rPr>
        <w:t>　</w:t>
      </w:r>
      <w:r>
        <w:rPr>
          <w:rFonts w:hint="eastAsia" w:ascii="Times New Roman" w:hAnsi="Times New Roman" w:eastAsia="仿宋_GB2312" w:cs="仿宋_GB2312"/>
          <w:i w:val="0"/>
          <w:iCs w:val="0"/>
          <w:caps w:val="0"/>
          <w:color w:val="auto"/>
          <w:spacing w:val="0"/>
          <w:sz w:val="32"/>
          <w:szCs w:val="32"/>
          <w:shd w:val="clear" w:color="auto" w:fill="FFFFFF"/>
        </w:rPr>
        <w:t>经核查，有下列情形之一的，可以不予立案：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sz w:val="32"/>
          <w:szCs w:val="32"/>
          <w:shd w:val="clear" w:color="auto" w:fill="FFFFFF"/>
        </w:rPr>
        <w:t>（一）违法行为轻微并及时改正，没有造成危害后果；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sz w:val="32"/>
          <w:szCs w:val="32"/>
          <w:shd w:val="clear" w:color="auto" w:fill="FFFFFF"/>
        </w:rPr>
        <w:t>（二）初次违法且危害后果轻微并及时改正；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sz w:val="32"/>
          <w:szCs w:val="32"/>
          <w:shd w:val="clear" w:color="auto" w:fill="FFFFFF"/>
        </w:rPr>
        <w:t>（三）当事人有证据足以证明没有主观过错，但法律、行政法规另有规定的除外；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sz w:val="32"/>
          <w:szCs w:val="32"/>
          <w:shd w:val="clear" w:color="auto" w:fill="FFFFFF"/>
        </w:rPr>
        <w:t>（四）依法可以不予立案的其他情形。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决定不予立案的，应当填写不予立案审批表。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xml:space="preserve">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办案人员应当全面、客观、公正、及时进行案件调查，收集、调取证据，并依照法律、法规、规章的规定进行检查。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首次向当事人收集、调取证据的，应当告知其享有陈述权、申辩权以及申请回避的权利。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办案人员调查或者进行检查时不得少于两人，并应当主动向当事人或者有关人员出示执法证件。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办案人员应当依法收集证据。证据包括：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（一）书证；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（二）物证；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（三）视听资料；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（四）电子数据；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（五）证人证言；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（六）当事人的陈述；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（七）鉴定意见；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（八）勘验笔录、现场笔录。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立案前核查或者监督检查过程中依法取得的证据材料，可以作为案件的证据使用。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对于移送的案件，移送机关依职权调查收集的证据材料，可以作为案件的证据使用。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上述证据，应当符合法律、法规、规章关于证据的规定，并经查证属实，才能作为认定案件事实的根据。以非法手段取得的证据，不得作为认定案件事实的根据。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收集、调取的书证、物证应当是原件、原物。调取原件、原物有困难的，可以提取复制件、影印件或者抄录件，也可以拍摄或者制作足以反映原件、原物外形或者内容的照片、录像。复制件、影印件、抄录件和照片、录像由证据提供人核对无误后注明与原件、原物一致，并注明出证日期、证据出处，同时签名或者盖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收集、调取的视听资料应当是有关资料的原始载体。调取视听资料原始载体有困难的，可以提取复制件，并注明制作方法、制作时间、制作人等。声音资料应当附有该声音内容的文字记录。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收集、调取的电子数据应当是有关数据的原始载体。收集电子数据原始载体有困难的，可以采用拷贝复制、委托分析、书式固定、拍照录像等方式取证，并注明制作方法、制作时间、制作人等。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市场监督管理部门可以利用互联网信息系统或者设备收集、固定违法行为证据。用来收集、固定违法行为证据的互联网信息系统或者设备应当符合相关规定，保证所收集、固定电子数据的真实性、完整性。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市场监督管理部门可以指派或者聘请具有专门知识的人员，辅助办案人员对案件关联的电子数据进行调查取证。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市场监督管理部门依照法律、行政法规规定利用电子技术监控设备收集、固定违法事实的，依照《中华人民共和国行政处罚法》有关规定执行。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在中华人民共和国领域外形成的公文书证，应当经所在国公证机关证明，或者履行中华人民共和国与该所在国订立的有关条约中规定的证明手续。涉及身份关系的证据，应当经所在国公证机关证明，并经中华人民共和国驻该国使领馆认证，或者履行中华人民共和国与该所在国订立的有关条约中规定的证明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在中华人民共和国香港特别行政区、澳门特别行政区和台湾地区形成的证据，应当履行相关的证明手续。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外文书证或者外国语视听资料等证据应当附有由具有翻译资质的机构翻译的或者其他翻译准确的中文译本，由翻译机构盖章或者翻译人员签名。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对有违法嫌疑的物品或者场所进行检查时，应当通知当事人到场。办案人员应当制作现场笔录，载明时间、地点、事件等内容，由办案人员、当事人签名或者盖章。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第二十九条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可以询问当事人及其他有关单位和个人。询问应当个别进行。询问应当制作笔录，询问笔录应当交被询问人核对；对阅读有困难的，应当向其宣读。笔录如有差错、遗漏，应当允许其更正或者补充。涂改部分应当由被询问人签名、盖章或者以其他方式确认。经核对无误后，由被询问人在笔录上逐页签名、盖章或者以其他方式确认。办案人员应当在笔录上签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办案人员可以要求当事人及其他有关单位和个人在一定期限内提供证明材料或者与涉嫌违法行为有关的其他材料，并由材料提供人在有关材料上签名或者盖章。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市场监督管理部门在查处侵权假冒等案件过程中，可以要求权利人对涉案产品是否为权利人生产或者其许可生产的产品进行辨认，也可以要求其对有关事项进行鉴别。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市场监督管理部门抽样取证时，应当通知当事人到场。办案人员应当制作抽样记录，对样品加贴封条，开具清单，由办案人员、当事人在封条和相关记录上签名或者盖章。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通过网络、电话购买等方式抽样取证的，应当采取拍照、截屏、录音、录像等方式对交易过程、商品拆包查验及封样等过程进行记录。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法律、法规、规章或者国家有关规定对实施抽样机构的资质或者抽样方式有明确要求的，市场监督管理部门应当委托相关机构或者按照规定方式抽取样品。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为查明案情，需要对案件中专门事项进行检测、检验、检疫、鉴定的，市场监督管理部门应当委托具有法定资质的机构进行；没有法定资质机构的，可以委托其他具备条件的机构进行。检测、检验、检疫、鉴定结果应当告知当事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在证据可能灭失或者以后难以取得的情况下，市场监督管理部门可以对与涉嫌违法行为有关的证据采取先行登记保存措施。采取或者解除先行登记保存措施，应当经市场监督管理部门负责人批准。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情况紧急，需要当场采取先行登记保存措施的，办案人员应当在二十四小时内向市场监督管理部门负责人报告，并补办批准手续。市场监督管理部门负责人认为不应当采取先行登记保存措施的，应当立即解除。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先行登记保存有关证据，应当当场清点，开具清单，由当事人和办案人员签名或者盖章，交当事人一份，并当场交付先行登记保存证据通知书。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先行登记保存期间，当事人或者有关人员不得损毁、销毁或者转移证据。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对于先行登记保存的证据，应当在七个工作日内采取以下措施：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（一）根据情况及时采取记录、复制、拍照、录像等证据保全措施；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（二）需要检测、检验、检疫、鉴定的，送交检测、检验、检疫、鉴定；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（三）依据有关法律、法规规定可以采取查封、扣押等行政强制措施的，决定采取行政强制措施；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（四）违法事实成立，应当予以没收的，作出行政处罚决定，没收违法物品；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（五）违法事实不成立，或者违法事实成立但依法不应当予以查封、扣押或者没收的，决定解除先行登记保存措施。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逾期未采取相关措施的，先行登记保存措施自动解除。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市场监督管理部门可以依据法律、法规的规定采取查封、扣押等行政强制措施。采取或者解除行政强制措施，应当经市场监督管理部门负责人批准。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情况紧急，需要当场采取行政强制措施的，办案人员应当在二十四小时内向市场监督管理部门负责人报告，并补办批准手续。市场监督管理部门负责人认为不应当采取行政强制措施的，应当立即解除。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市场监督管理部门实施行政强制措施应当依照《中华人民共和国行政强制法》规定的程序进行，并当场交付实施行政强制措施决定书和清单。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查封、扣押的期限不得超过三十日；情况复杂的，经市场监督管理部门负责人批准，可以延长，但是延长期限不得超过三十日。法律、行政法规另有规定的除外。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延长查封、扣押的决定应当及时书面告知当事人，并说明理由。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对物品需要进行检测、检验、检疫、鉴定的，查封、扣押的期间不包括检测、检验、检疫、鉴定的期间。检测、检验、检疫、鉴定的期间应当明确，并书面告知当事人。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第三十九条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扣押当事人托运的物品，应当制作协助扣押通知书，通知有关单位协助办理，并书面通知当事人。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对当事人家存或者寄存的涉嫌违法物品，需要扣押的，责令当事人取出；当事人拒绝取出的，应当会同当地有关部门或者单位将其取出，并办理扣押手续。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查封、扣押的场所、设施或者财物应当妥善保管，不得使用或者损毁；市场监督管理部门可以委托第三人保管，第三人不得损毁或者擅自转移、处置。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查封的场所、设施或者财物，应当加贴市场监督管理部门封条，任何人不得随意动用。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除法律、法规另有规定外，容易损毁、灭失、变质、保管困难或者保管费用过高、季节性商品等不宜长期保存的物品，在确定为罚没财物前，经权利人同意或者申请，并经市场监督管理部门负责人批准，在采取相关措施留存证据后，可以依法先行处置；权利人不明确的，可以依法公告，公告期满后仍没有权利人同意或者申请的，可以依法先行处置。先行处置所得款项按照涉案现金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有下列情形之一的，市场监督管理部门应当及时作出解除查封、扣押决定：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（一）当事人没有违法行为；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（二）查封、扣押的场所、设施或者财物与违法行为无关；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（三）对违法行为已经作出处理决定，不再需要查封、扣押；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（四）查封、扣押期限已经届满；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（五）其他不再需要采取查封、扣押措施的情形。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解除查封、扣押应当立即退还财物，并由办案人员和当事人在财物清单上签名或者盖章。市场监督管理部门已将财物依法先行处置并有所得款项的，应当退还所得款项。先行处置明显不当，给当事人造成损失的，应当给予补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事人下落不明或者无法确定涉案物品所有人的，应当按照本规定第八十二条第五项规定的公告送达方式告知领取。公告期满仍无人领取的，经市场监督管理部门负责人批准，将涉案物品上缴或者依法拍卖后将所得款项上缴国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在调查取证过程中，无法通知当事人，当事人不到场或者拒绝接受调查，当事人拒绝签名、盖章或者以其他方式确认的，办案人员应当在笔录或者其他材料上注明情况，并采取录音、录像等方式记录，必要时可以邀请有关人员作为见证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进行现场检查、询问当事人及其他有关单位和个人、抽样取证、采取先行登记保存措施、实施查封或者扣押等行政强制措施时，按照有关规定采取拍照、录音、录像等方式记录现场情况。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第四十五条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市场监督管理部门在办理行政处罚案件时，确需有关机关或者其他市场监督管理部门协助调查取证的，应当出具协助调查函。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收到协助调查函的市场监督管理部门对属于本部门职权范围的协助事项应当予以协助，在接到协助调查函之日起十五个工作日内完成相关工作。需要延期完成的，应当在期限届满前告知提出协查请求的市场监督管理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有下列情形之一的，经市场监督管理部门负责人批准，中止案件调查：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（一）行政处罚决定须以相关案件的裁判结果或者其他行政决定为依据，而相关案件尚未审结或者其他行政决定尚未作出的；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（二）涉及法律适用等问题，需要送请有权机关作出解释或者确认的；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（三）因不可抗力致使案件暂时无法调查的；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（四）因当事人下落不明致使案件暂时无法调查的；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（五）其他应当中止调查的情形。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中止调查的原因消除后，应当立即恢复案件调查。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因涉嫌违法的自然人死亡或者法人、其他组织终止，并且无权利义务承受人等原因，致使案件调查无法继续进行的，经市场监督管理部门负责人批准，案件终止调查。</w:t>
      </w:r>
      <w:r>
        <w:rPr>
          <w:rFonts w:hint="eastAsia" w:ascii="Times New Roman" w:hAnsi="Times New Roman" w:eastAsia="仿宋_GB2312" w:cs="仿宋_GB2312"/>
          <w:b/>
          <w:bCs/>
          <w:i w:val="0"/>
          <w:iCs w:val="0"/>
          <w:caps w:val="0"/>
          <w:color w:val="auto"/>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案件调查终结，办案机构应当撰写调查终结报告。案件调查终结报告包括以下内容：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（一）当事人的基本情况；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（二）案件来源、调查经过及采取行政强制措施的情况；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（三）调查认定的事实及主要证据；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（四）违法行为性质；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（五）处理意见及依据；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（六）自由裁量的理由等其他需要说明的事项。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第四十九条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办案机构应当将调查终结报告连同案件材料，交由市场监督管理部门审核机构进行审核。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审核分为法制审核和案件审核。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办案人员不得作为审核人员。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情节复杂或者重大违法行为给予行政处罚的下列案件，在市场监督管理部门负责人作出行政处罚的决定之前，应当由从事行政处罚决定法制审核的人员进行法制审核；未经法制审核或者审核未通过的，不得作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（一）涉及重大公共利益的；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（二）直接关系当事人或者第三人重大权益，经过听证程序的；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（三）案件情况疑难复杂、涉及多个法律关系的；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（四）法律、法规规定应当进行法制审核的其他情形。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前款第二项规定的案件，在听证程序结束后进行法制审核。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县级以上市场监督管理部门可以对第一款的法制审核案件范围作出具体规定。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法制审核由市场监督管理部门法制机构或者其他机构负责实施。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市场监督管理部门中初次从事行政处罚决定法制审核的人员，应当通过国家统一法律职业资格考试取得法律职业资格。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除本规定第五十条第一款规定以外适用普通程序的案件，应当进行案件审核。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案件审核由市场监督管理部门办案机构或者其他机构负责实施。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市场监督管理部门派出机构以自己的名义实施行政处罚的案件，由派出机构负责案件审核。</w:t>
      </w:r>
      <w:r>
        <w:rPr>
          <w:rFonts w:hint="eastAsia" w:ascii="Times New Roman" w:hAnsi="Times New Roman" w:eastAsia="仿宋_GB2312" w:cs="仿宋_GB2312"/>
          <w:b/>
          <w:bCs/>
          <w:i w:val="0"/>
          <w:iCs w:val="0"/>
          <w:caps w:val="0"/>
          <w:color w:val="auto"/>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审核的主要内容包括：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（一）是否具有管辖权；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（二）当事人的基本情况是否清楚；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（三）案件事实是否清楚、证据是否充分；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（四）定性是否准确；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（五）适用依据是否正确；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（六）程序是否合法；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（七）处理是否适当。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审核机构对案件进行审核，区别不同情况提出书面意见和建议：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（一）对事实清楚、证据充分、定性准确、适用依据正确、程序合法、处理适当的案件，同意案件处理意见；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（二）对定性不准、适用依据错误、程序不合法、处理不当的案件，建议纠正；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（三）对事实不清、证据不足的案件，建议补充调查；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（四）认为有必要提出的其他意见和建议。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审核机构应当自接到审核材料之日起十个工作日内完成审核。特殊情况下，经市场监督管理部门负责人批准可以延长。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审核机构完成审核并退回案件材料后，对于拟给予行政处罚的案件，办案机构应当将案件材料、行政处罚建议及审核意见报市场监督管理部门负责人批准，并依法履行告知等程序；对于建议给予其他行政处理的案件，办案机构应当将案件材料、审核意见报市场监督管理部门负责人审查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第五十七条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拟给予行政处罚的案件，市场监督管理部门在作出行政处罚决定之前，应当书面告知当事人拟作出的行政处罚内容及事实、理由、依据，并告知当事人依法享有陈述权、申辩权。拟作出的行政处罚属于听证范围的，还应当告知当事人有要求听证的权利。法律、法规规定在行政处罚决定作出前需责令当事人退还多收价款的，一并告知拟责令退还的数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当事人自告知书送达之日起五个工作日内，未行使陈述、申辩权，未要求听证的，视为放弃此权利。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在告知当事人拟作出的行政处罚决定后，应当充分听取当事人的意见，对当事人提出的事实、理由和证据进行复核。当事人提出的事实、理由或者证据成立的，市场监督管理部门应当予以采纳，不得因当事人陈述、申辩或者要求听证而给予更重的行政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第五十九条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法律、法规要求责令当事人退还多收价款的，市场监督管理部门应当在听取当事人意见后作出行政处罚决定前，向当事人发出责令退款通知书，责令当事人限期退还。难以查找多付价款的消费者或者其他经营者的，责令公告查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市场监督管理部门负责人经对案件调查终结报告、审核意见、当事人陈述和申辩意见或者听证报告等进行审查，根据不同情况，分别作出以下决定：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（一）确有依法应当给予行政处罚的违法行为的，根据情节轻重及具体情况，作出行政处罚决定；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（二）确有违法行为，但有依法不予行政处罚情形的，不予行政处罚；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（三）违法事实不能成立的，不予行政处罚；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（四）不属于市场监督管理部门管辖的，移送其他行政管理部门处理；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（五）违法行为涉嫌犯罪的，移送司法机关。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对本规定第五十条第一款规定的案件，拟给予行政处罚的，应当由市场监督管理部门负责人集体讨论决定。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 xml:space="preserve">第六十一条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对当事人的违法行为依法不予行政处罚的，市场监督管理部门应当对当事人进行教育。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第六十二条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市场监督管理部门作出行政处罚决定，应当制作行政处罚决定书，并加盖本部门印章。行政处罚决定书的内容包括：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（一）当事人的姓名或者名称、地址等基本情况；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（二）违反法律、法规、规章的事实和证据；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（三）当事人陈述、申辩的采纳情况及理由；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（四）行政处罚的内容和依据；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（五）行政处罚的履行方式和期限；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（六）申请行政复议、提起行政诉讼的途径和期限；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（七）作出行政处罚决定的市场监督管理部门的名称和作出决定的日期。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第六十三条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市场监督管理部门作出的具有一定社会影响的行政处罚决定应当按照有关规定向社会公开。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公开的行政处罚决定被依法变更、撤销、确认违法或者确认无效的，市场监督管理部门应当在三个工作日内撤回行政处罚决定信息并公开说明理由。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适用普通程序办理的案件应当自立案之日起九十日内作出处理决定。因案情复杂或者其他原因，不能在规定期限内作出处理决定的，经市场监督管理部门负责人批准，可以延长三十日。案情特别复杂或者有其他特殊情况，经延期仍不能作出处理决定的，应当由市场监督管理部门负责人集体讨论决定是否继续延期，决定继续延期的，应当同时确定延长的合理期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案件处理过程中，中止、听证、公告和检测、检验、检疫、鉴定、权利人辨认或者鉴别、责令退还多收价款等时间不计入前款所指的案件办理期限。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发生重大传染病疫情等突发事件，为了控制、减轻和消除突发事件引起的社会危害，市场监督管理部门对违反突发事件应对措施的行为，依法快速、从重处罚。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center"/>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第四章　行政处罚的简易程序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违法事实确凿并有法定依据，对自然人处以二百元以下、对法人或者其他组织处以三千元以下罚款或者警告的行政处罚的，可以当场作出行政处罚决定。法律另有规定的，从其规定。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适用简易程序当场查处违法行为，办案人员应当向当事人出示执法证件，当场调查违法事实，收集必要的证据，填写预定格式、编有号码的行政处罚决定书。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行政处罚决定书应当由办案人员签名或者盖章，并当场交付当事人。当事人拒绝签收的，应当在行政处罚决定书上注明。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第六十八条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当场制作的行政处罚决定书应当载明当事人的基本情况、违法行为、行政处罚依据、处罚种类、罚款数额、缴款途径和期限、救济途径和期限、部门名称、时间、地点，并加盖市场监督管理部门印章。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第六十九条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办案人员在行政处罚决定作出前，应当告知当事人拟作出的行政处罚内容及事实、理由、依据，并告知当事人有权进行陈述和申辩。当事人进行陈述和申辩的，办案人员应当记入笔录。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适用简易程序查处案件的有关材料，办案人员应当在作出行政处罚决定之日起七个工作日内交至所在的市场监督管理部门归档保存。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center"/>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第五章　执行与结案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行政处罚决定依法作出后，当事人应当在行政处罚决定书载明的期限内予以履行。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当事人对行政处罚决定不服申请行政复议或者提起行政诉讼的，行政处罚不停止执行，法律另有规定的除外。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第七十二条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对当事人作出罚款、没收违法所得行政处罚的，当事人应当自收到行政处罚决定书之日起十五日内，通过指定银行或者电子支付系统缴纳罚没款。有下列情形之一的，可以由办案人员当场收缴罚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（一）当场处以一百元以下罚款的；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（二）当场对自然人处以二百元以下、对法人或者其他组织处以三千元以下罚款，不当场收缴事后难以执行的；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（三）在边远、水上、交通不便地区，当事人向指定银行或者通过电子支付系统缴纳罚款确有困难，经当事人提出的。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办案人员当场收缴罚款的，必须向当事人出具国务院财政部门或者省、自治区、直辖市财政部门统一制发的专用票据。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办案人员当场收缴的罚款，应当自收缴罚款之日起二个工作日内交至所在市场监督管理部门。在水上当场收缴的罚款，应当自抵岸之日起二个工作日内交至所在市场监督管理部门。市场监督管理部门应当在二个工作日内将罚款缴付指定银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第七十四条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当事人确有经济困难，需要延期或者分期缴纳罚款的，应当提出书面申请。经市场监督管理部门负责人批准，同意当事人暂缓或者分期缴纳罚款的，市场监督管理部门应当书面告知当事人暂缓或者分期的期限。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第七十五条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当事人逾期不缴纳罚款的，市场监督管理部门可以每日按罚款数额的百分之三加处罚款，加处罚款的数额不得超出罚款的数额。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第七十六条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当事人在法定期限内不申请行政复议或者提起行政诉讼，又不履行行政处罚决定，且在收到催告书十个工作日后仍不履行行政处罚决定的，市场监督管理部门可以在期限届满之日起三个月内依法申请人民法院强制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市场监督管理部门批准延期、分期缴纳罚款的，申请人民法院强制执行的期限，自暂缓或者分期缴纳罚款期限结束之日起计算。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适用普通程序的案件有以下情形之一的，办案机构应当在十五个工作日内填写结案审批表，经市场监督管理部门负责人批准后，予以结案：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（一）行政处罚决定执行完毕的；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（二）人民法院裁定终结执行的；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（三）案件终止调查的；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（四）作出本规定第六十条第一款第二项至五项决定的；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（五）其他应予结案的情形。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第七十八条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结案后，办案人员应当将案件材料按照档案管理的有关规定立卷归档。案卷归档应当一案一卷、材料齐全、规范有序。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案卷可以分正卷、副卷。正卷按照下列顺序归档：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（一）立案审批表；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（二）行政处罚决定书及送达回证；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（三）对当事人制发的其他法律文书及送达回证；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（四）证据材料；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（五）听证笔录；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（六）财物处理单据；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（七）其他有关材料。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副卷按照下列顺序归档：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（一）案源材料；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（二）调查终结报告；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（三）审核意见；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（四）听证报告；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（五）结案审批表；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（六）其他有关材料。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案卷的保管和查阅，按照档案管理的有关规定执行。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第七十九条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市场监督管理部门应当依法以文字、音像等形式，对行政处罚的启动、调查取证、审核、决定、送达、执行等进行全过程记录，依照本规定第七十八条的规定归档保存。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center"/>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第六章　期间、送达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期间以时、日、月计算，期间开始的时或者日不计算在内。期间不包括在途时间。期间届满的最后一日为法定节假日的，以法定节假日后的第一日为期间届满的日期。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第八十一条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市场监督管理部门送达行政处罚决定书，应当在宣告后当场交付当事人。当事人不在场的，应当在七个工作日内按照本规定第八十二条、第八十三条的规定，将行政处罚决定书送达当事人。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第八十二条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市场监督管理部门送达执法文书，应当按照下列方式进行：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一）直接送达的，由受送达人在送达回证上注明签收日期，并签名或者盖章，受送达人在送达回证上注明的签收日期为送达日期。受送达人是自然人的，本人不在时交其同住成年家属签收；受送达人是法人或者其他组织的，应当由法人的法定代表人、其他组织的主要负责人或者该法人、其他组织负责收件的人签收；受送达人有代理人的，可以送交其代理人签收；受送达人已向市场监督管理部门指定代收人的，送交代收人签收。受送达人的同住成年家属，法人或者其他组织负责收件的人，代理人或者代收人在送达回证上签收的日期为送达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二）受送达人或者其同住成年家属拒绝签收的，市场监督管理部门可以邀请有关基层组织或者所在单位的代表到场，说明情况，在送达回证上载明拒收事由和日期，由送达人、见证人签名或者以其他方式确认，将执法文书留在受送达人的住所；也可以将执法文书留在受送达人的住所，并采取拍照、录像等方式记录送达过程，即视为送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三）经受送达人同意并签订送达地址确认书，可以采用手机短信、传真、电子邮件、即时通讯账号等能够确认其收悉的电子方式送达执法文书，市场监督管理部门应当通过拍照、截屏、录音、录像等方式予以记录，手机短信、传真、电子邮件、即时通讯信息等到达受送达人特定系统的日期为送达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（四）直接送达有困难的，可以邮寄送达或者委托当地市场监督管理部门、转交其他部门代为送达。邮寄送达的，以回执上注明的收件日期为送达日期；委托、转交送达的，受送达人的签收日期为送达日期。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五）受送达人下落不明或者采取上述方式无法送达的，可以在市场监督管理部门公告栏和受送达人住所地张贴公告，也可以在报纸或者市场监督管理部门门户网站等刊登公告。自公告发布之日起经过三十日，即视为送达。公告送达，应当在案件材料中载明原因和经过。在市场监督管理部门公告栏和受送达人住所地张贴公告的，应当采取拍照、录像等方式记录张贴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第八十三条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市场监督管理部门可以要求受送达人签署送达地址确认书，送达至受送达人确认的地址，即视为送达。受送达人送达地址发生变更的，应当及时书面告知市场监督管理部门；未及时告知的，市场监督管理部门按原地址送达，视为依法送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因受送达人提供的送达地址不准确、送达地址变更未书面告知市场监督管理部门，导致执法文书未能被受送达人实际接收的，直接送达的，执法文书留在该地址之日为送达之日；邮寄送达的，执法文书被退回之日为送达之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第七章　附    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3"/>
        <w:jc w:val="both"/>
        <w:textAlignment w:val="auto"/>
        <w:rPr>
          <w:rFonts w:hint="eastAsia" w:ascii="Times New Roman" w:hAnsi="Times New Roman" w:eastAsia="宋体" w:cs="宋体"/>
          <w:i w:val="0"/>
          <w:iCs w:val="0"/>
          <w:caps w:val="0"/>
          <w:color w:val="auto"/>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第八十四条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本规定中的“以上”“以下”“内”均包括本数。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第八十五条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国务院药品监督管理部门和省级药品监督管理部门实施行政处罚，适用本规定。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法律、法规授权的履行市场监督管理职能的组织实施行政处罚，适用本规定。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对违反《中华人民共和国反垄断法》规定的行为实施行政处罚的程序，按照国务院市场监督管理部门专项规定执行。专项规定未作规定的，参照本规定执行。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Times New Roman" w:hAnsi="Times New Roman" w:eastAsia="宋体" w:cs="宋体"/>
          <w:i w:val="0"/>
          <w:iCs w:val="0"/>
          <w:caps w:val="0"/>
          <w:color w:val="auto"/>
          <w:spacing w:val="0"/>
          <w:sz w:val="21"/>
          <w:szCs w:val="21"/>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第八十六条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行政处罚文书格式范本，由国务院市场监督管理部门统一制定。各省级市场监督管理部门可以参照文书格式范本，制定本行政区域适用的行政处罚文书格式并自行印制。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黑体" w:cs="黑体"/>
          <w:i w:val="0"/>
          <w:iCs w:val="0"/>
          <w:caps w:val="0"/>
          <w:color w:val="auto"/>
          <w:spacing w:val="0"/>
          <w:kern w:val="0"/>
          <w:sz w:val="32"/>
          <w:szCs w:val="32"/>
          <w:shd w:val="clear" w:color="auto" w:fill="FFFFFF"/>
          <w:lang w:val="en-US" w:eastAsia="zh-CN" w:bidi="ar"/>
        </w:rPr>
        <w:t>第八十七条</w:t>
      </w:r>
      <w:r>
        <w:rPr>
          <w:rFonts w:hint="eastAsia" w:ascii="Times New Roman" w:hAnsi="Times New Roman" w:eastAsia="方正黑体_GBK" w:cs="方正黑体_GBK"/>
          <w:i w:val="0"/>
          <w:iCs w:val="0"/>
          <w:caps w:val="0"/>
          <w:color w:val="auto"/>
          <w:spacing w:val="0"/>
          <w:kern w:val="0"/>
          <w:sz w:val="32"/>
          <w:szCs w:val="32"/>
          <w:shd w:val="clear" w:color="auto" w:fill="FFFFFF"/>
          <w:lang w:val="en-US" w:eastAsia="zh-CN" w:bidi="ar"/>
        </w:rPr>
        <w:t>　</w:t>
      </w:r>
      <w:r>
        <w:rPr>
          <w:rFonts w:hint="eastAsia" w:ascii="Times New Roman" w:hAnsi="Times New Roman" w:eastAsia="仿宋_GB2312" w:cs="仿宋_GB2312"/>
          <w:i w:val="0"/>
          <w:iCs w:val="0"/>
          <w:caps w:val="0"/>
          <w:color w:val="auto"/>
          <w:spacing w:val="0"/>
          <w:kern w:val="0"/>
          <w:sz w:val="32"/>
          <w:szCs w:val="32"/>
          <w:shd w:val="clear" w:color="auto" w:fill="FFFFFF"/>
          <w:lang w:val="en-US" w:eastAsia="zh-CN" w:bidi="ar"/>
        </w:rPr>
        <w:t>本规定自</w:t>
      </w:r>
      <w:r>
        <w:rPr>
          <w:rFonts w:hint="default" w:ascii="Times New Roman" w:hAnsi="Times New Roman" w:eastAsia="仿宋_GB2312" w:cs="Times New Roman"/>
          <w:i w:val="0"/>
          <w:iCs w:val="0"/>
          <w:caps w:val="0"/>
          <w:color w:val="auto"/>
          <w:spacing w:val="0"/>
          <w:kern w:val="0"/>
          <w:sz w:val="32"/>
          <w:szCs w:val="32"/>
          <w:shd w:val="clear" w:color="auto" w:fill="FFFFFF"/>
          <w:lang w:val="en-US" w:eastAsia="zh-CN" w:bidi="ar"/>
        </w:rPr>
        <w:t>2019年4月1日起施行。1996年9月18日原国家技术监督局令第45号公布的《技术监督行政处罚委托实施办法》、2001年4月9日原国家质量技术监督局令第16号公布的《质量技术监督罚没物品管理和处置办法》、2007年9月4日原国家工商行政管理总局令第28号公布的《工商行政管理机关行政处罚程序规定》、2011年3月2日原国家质量监督检验检疫总局令第137号公布的《质量技术监督行政处罚程序规定》、2011年3月2日原国家质量监督检验检疫总局令第138号公布的《质量技术监督行政处罚案件审理规定》、2014年4月28日原国家食品药品监督管理总局令第3号公布的《食品药品行政处罚程序规定》同时废止。</w:t>
      </w:r>
    </w:p>
    <w:bookmarkEnd w:id="2"/>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imes-Roman">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BFEA7C4"/>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5FAF87E8"/>
    <w:rsid w:val="5FF34655"/>
    <w:rsid w:val="602816AC"/>
    <w:rsid w:val="602E29D0"/>
    <w:rsid w:val="6037544B"/>
    <w:rsid w:val="608816D1"/>
    <w:rsid w:val="60EF4E7F"/>
    <w:rsid w:val="6409018B"/>
    <w:rsid w:val="64874BF3"/>
    <w:rsid w:val="665233C1"/>
    <w:rsid w:val="6AD02BEE"/>
    <w:rsid w:val="6AD9688B"/>
    <w:rsid w:val="6B7F465D"/>
    <w:rsid w:val="6D0E3F22"/>
    <w:rsid w:val="6E65BE71"/>
    <w:rsid w:val="702309E3"/>
    <w:rsid w:val="72CD1B96"/>
    <w:rsid w:val="75965E53"/>
    <w:rsid w:val="76DBF8A2"/>
    <w:rsid w:val="77F93A8F"/>
    <w:rsid w:val="79BF88D5"/>
    <w:rsid w:val="7B67BFEF"/>
    <w:rsid w:val="7C9011D9"/>
    <w:rsid w:val="7D5B524D"/>
    <w:rsid w:val="7DC651C5"/>
    <w:rsid w:val="7EFF2FA7"/>
    <w:rsid w:val="7F17A0B7"/>
    <w:rsid w:val="7F1F247A"/>
    <w:rsid w:val="7FCC2834"/>
    <w:rsid w:val="7FD7C2C1"/>
    <w:rsid w:val="A5DF7DB2"/>
    <w:rsid w:val="B0776C7A"/>
    <w:rsid w:val="BF5F410E"/>
    <w:rsid w:val="CFCF9594"/>
    <w:rsid w:val="DCEF63BC"/>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3</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2022-10-14T16:35:18Z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