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val="0"/>
          <w:bCs w:val="0"/>
          <w:color w:val="auto"/>
          <w:sz w:val="44"/>
          <w:szCs w:val="44"/>
        </w:rPr>
      </w:pPr>
      <w:r>
        <w:rPr>
          <w:rFonts w:hint="default" w:ascii="Times New Roman" w:hAnsi="Times New Roman" w:eastAsia="方正小标宋简体" w:cs="Times New Roman"/>
          <w:b w:val="0"/>
          <w:bCs w:val="0"/>
          <w:color w:val="auto"/>
          <w:sz w:val="44"/>
          <w:szCs w:val="44"/>
        </w:rPr>
        <w:t>特殊医学用途配方食品注册管理办法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color w:val="auto"/>
          <w:sz w:val="32"/>
          <w:szCs w:val="32"/>
          <w:lang w:val="en-US" w:eastAsia="zh-CN"/>
        </w:rPr>
      </w:pPr>
      <w:r>
        <w:rPr>
          <w:rFonts w:hint="default" w:ascii="Times New Roman" w:hAnsi="Times New Roman" w:eastAsia="楷体_GB2312" w:cs="Times New Roman"/>
          <w:color w:val="auto"/>
          <w:sz w:val="32"/>
          <w:szCs w:val="32"/>
          <w:lang w:val="en-US" w:eastAsia="zh-CN"/>
        </w:rPr>
        <w:t>（2016年3月7日</w:t>
      </w:r>
      <w:r>
        <w:rPr>
          <w:rFonts w:hint="default" w:ascii="Times New Roman" w:hAnsi="Times New Roman" w:eastAsia="楷体_GB2312" w:cs="Times New Roman"/>
          <w:color w:val="auto"/>
          <w:sz w:val="32"/>
          <w:szCs w:val="32"/>
        </w:rPr>
        <w:t>国家食品药品监督管理总局令第24号</w:t>
      </w:r>
      <w:r>
        <w:rPr>
          <w:rFonts w:hint="default" w:ascii="Times New Roman" w:hAnsi="Times New Roman" w:eastAsia="楷体_GB2312" w:cs="Times New Roman"/>
          <w:color w:val="auto"/>
          <w:sz w:val="32"/>
          <w:szCs w:val="32"/>
          <w:lang w:val="en-US" w:eastAsia="zh-CN"/>
        </w:rPr>
        <w:t>公布）</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楷体_GB2312" w:cs="Times New Roman"/>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第一章  </w:t>
      </w:r>
      <w:r>
        <w:rPr>
          <w:rFonts w:hint="default" w:ascii="Times New Roman" w:hAnsi="Times New Roman" w:eastAsia="黑体" w:cs="Times New Roman"/>
          <w:color w:val="auto"/>
          <w:sz w:val="32"/>
          <w:szCs w:val="32"/>
        </w:rPr>
        <w:t>总</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为规范特殊医学用途配方食品注册行为，加强注册管理，保证特殊医学用途配方食品质量安全，根据《中华人民共和国食品安全法》等法律法规，制定本办法。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在中华人民共和国境内生产销售和进口的特殊医学用途配方食品的注册管理，适用本办法。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注册，是指国家食品药品监督管理总局根据申请，依照本办法规定的程序和要求，对特殊医学用途配方食品的产品配方、生产工艺、标签、说明书以及产品安全性、营养充足性和特殊医学用途临床效果进行审查，并决定是否准予注册的过程。</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特殊医学用途配方食品注册管理，应当遵循科学、公开、公平、公正的原则。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国家食品药品监督管理总局负责特殊医学用途配方食品的注册管理工作。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国家食品药品监督管理总局行政受理机构（以下简称受理机构）负责特殊医学用途配方食品注册申请的受理工作。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国家食品药品监督管理总局食品审评机构（以下简称审评机构）负责特殊医学用途配方食品注册申请的审评工作。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国家食品药品监督管理总局审核查验机构（以下简称核查机构）负责特殊医学用途配方食品注册审评过程中的现场核查工作。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国家食品药品监督管理总局组建由食品营养、临床医学、食品安全、食品加工等领域专家组成的特殊医学用途配方食品注册审评专家库。</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国家食品药品监督管理总局应当加强信息化建设，提高特殊医学用途配方食品注册管理信息化水平。</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第二章  </w:t>
      </w:r>
      <w:r>
        <w:rPr>
          <w:rFonts w:hint="default" w:ascii="Times New Roman" w:hAnsi="Times New Roman" w:eastAsia="黑体" w:cs="Times New Roman"/>
          <w:color w:val="auto"/>
          <w:sz w:val="32"/>
          <w:szCs w:val="32"/>
        </w:rPr>
        <w:t>注</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册</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default" w:ascii="Times New Roman" w:hAnsi="Times New Roman" w:eastAsia="楷体_GB2312" w:cs="Times New Roman"/>
          <w:color w:val="auto"/>
          <w:kern w:val="2"/>
          <w:sz w:val="32"/>
          <w:szCs w:val="32"/>
        </w:rPr>
      </w:pPr>
      <w:r>
        <w:rPr>
          <w:rFonts w:hint="eastAsia" w:ascii="Times New Roman" w:hAnsi="Times New Roman" w:eastAsia="楷体_GB2312" w:cs="Times New Roman"/>
          <w:color w:val="auto"/>
          <w:kern w:val="2"/>
          <w:sz w:val="32"/>
          <w:szCs w:val="32"/>
          <w:lang w:val="en-US" w:eastAsia="zh-CN"/>
        </w:rPr>
        <w:t xml:space="preserve">第一节  </w:t>
      </w:r>
      <w:r>
        <w:rPr>
          <w:rFonts w:hint="default" w:ascii="Times New Roman" w:hAnsi="Times New Roman" w:eastAsia="楷体_GB2312" w:cs="Times New Roman"/>
          <w:color w:val="auto"/>
          <w:kern w:val="2"/>
          <w:sz w:val="32"/>
          <w:szCs w:val="32"/>
        </w:rPr>
        <w:t>申请与受理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outlineLvl w:val="1"/>
        <w:rPr>
          <w:rFonts w:hint="default" w:ascii="Times New Roman" w:hAnsi="Times New Roman" w:eastAsia="楷体_GB2312" w:cs="Times New Roman"/>
          <w:color w:val="auto"/>
          <w:kern w:val="2"/>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第八条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特殊医学用途配方食品注册申请人（以下简称申请人）应当为拟在我国境内生产并销售特殊医学用途配方食品的生产企业和拟向我国境内出口特殊医学用途配方食品的境外生产企业。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人应当具备与所生产特殊医学用途配方食品相适应的研发、生产能力，设立特殊医学用途配方食品研发机构，配备专职的产品研发人员、食品安全管理人员和食品安全专业技术人员，按照良好生产规范要求建立与所生产食品相适应的生产质量管理体系，具备按照特殊医学用途配方食品国家标准规定的全部项目逐批检验的能力。</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研发机构中应当有食品相关专业高级职称或者相应专业能力的人员。</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申请特殊医学用途配方食品注册，应当向国家食品药品监督管理总局提交下列材料：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（一）特殊医学用途配方食品注册申请书；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（二）产品研发报告和产品配方设计及其依据；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（三）生产工艺资料；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（四）产品标准要求；</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（五）产品标签、说明书样稿；</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（六）试验样品检验报告；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（七）研发、生产和检验能力证明材料；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（八）其他表明产品安全性、营养充足性以及特殊医学用途临床效果的材料。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申请特定全营养配方食品注册，还应当提交临床试验报告。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申请人应当对其申请材料的真实性负责。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受理机构对申请人提出的特殊医学用途配方食品注册申请，应当根据下列情况分别作出处理：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（一）申请事项依法不需要进行注册的，应当即时告知申请人不受理；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（二）申请事项依法不属于国家食品药品监督管理总局职权范围的，应当即时作出不予受理的决定，并告知申请人向有关行政机关申请；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（三）申请材料存在可以当场更正的错误的，应当允许申请人当场更正；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（四）申请材料不齐全或者不符合法定形式的，应当当场或者在5个工作日内一次告知申请人需要补正的全部内容，逾期不告知的，自收到申请材料之日起即为受理；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（五）申请事项属于国家食品药品监督管理总局职权范围，申请材料齐全、符合法定形式，或者申请人按照要求提交全部补正申请材料的，应当受理注册申请。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　　受理机构受理或者不予受理注册申请，应当出具加盖国家食品药品监督管理总局行政许可受理专用章和注明日期的书面凭证。 </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default" w:ascii="Times New Roman" w:hAnsi="Times New Roman" w:eastAsia="楷体_GB2312" w:cs="Times New Roman"/>
          <w:color w:val="auto"/>
          <w:kern w:val="2"/>
          <w:sz w:val="32"/>
          <w:szCs w:val="32"/>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outlineLvl w:val="1"/>
        <w:rPr>
          <w:rFonts w:hint="default" w:ascii="Times New Roman" w:hAnsi="Times New Roman" w:eastAsia="楷体_GB2312" w:cs="Times New Roman"/>
          <w:color w:val="auto"/>
          <w:kern w:val="2"/>
          <w:sz w:val="32"/>
          <w:szCs w:val="32"/>
        </w:rPr>
      </w:pPr>
      <w:r>
        <w:rPr>
          <w:rFonts w:hint="eastAsia" w:ascii="Times New Roman" w:hAnsi="Times New Roman" w:eastAsia="楷体_GB2312" w:cs="Times New Roman"/>
          <w:color w:val="auto"/>
          <w:kern w:val="2"/>
          <w:sz w:val="32"/>
          <w:szCs w:val="32"/>
          <w:lang w:val="en-US" w:eastAsia="zh-CN"/>
        </w:rPr>
        <w:t xml:space="preserve">第二节  </w:t>
      </w:r>
      <w:r>
        <w:rPr>
          <w:rFonts w:hint="default" w:ascii="Times New Roman" w:hAnsi="Times New Roman" w:eastAsia="楷体_GB2312" w:cs="Times New Roman"/>
          <w:color w:val="auto"/>
          <w:kern w:val="2"/>
          <w:sz w:val="32"/>
          <w:szCs w:val="32"/>
        </w:rPr>
        <w:t>审查与决定</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both"/>
        <w:textAlignment w:val="auto"/>
        <w:outlineLvl w:val="1"/>
        <w:rPr>
          <w:rFonts w:hint="default" w:ascii="Times New Roman" w:hAnsi="Times New Roman" w:eastAsia="楷体_GB2312" w:cs="Times New Roman"/>
          <w:color w:val="auto"/>
          <w:kern w:val="2"/>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第十一条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审评机构应当对申请材料进行审查，并根据实际需要组织对申请人进行现场核查、对试验样品进行抽样检验、对临床试验进行现场核查和对专业问题进行专家论证。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xml:space="preserve">　第十二条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核查机构应当自接到审评机构通知之日起20个工作日内完成对申请人的研发能力、生产能力、检验能力等情况的现场核查，并出具核查报告。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核查机构应当通知申请人所在地省级食品药品监督管理部门参与现场核查，省级食品药品监督管理部门应当派员参与现场核查。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审评机构应当委托具有法定资质的食品检验机构进行抽样检验。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检验机构应当自接受委托之日起30个工作日内完成抽样检验。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核查机构应当自接到审评机构通知之日起40个工作日内完成对临床试验的真实性、完整性、准确性等情况的现场核查，并出具核查报告。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xml:space="preserve">　　第十五条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审评机构可以从特殊医学用途配方食品注册审评专家库中选取专家，对审评过程中遇到的问题进行论证，并形成专家意见。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审评机构应当自收到受理材料之日起60个工作日内根据核查报告、检验报告以及专家意见完成技术审评工作，并作出审查结论。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审评过程中需要申请人补正材料的，审评机构应当一次告知需要补正的全部内容。申请人应当在6个月内一次补正材料。补正材料的时间不计算在审评时间内。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特殊情况下需要延长审评时间的，经审评机构负责人同意，可以延长30个工作日，延长决定应当及时书面告知申请人。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第十七条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审评机构认为申请材料真实，产品科学、安全，生产工艺合理、可行和质量可控，技术要求和检验方法科学、合理的，应当提出予以注册的建议。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审评机构提出不予注册建议的，应当向申请人发出拟不予注册的书面通知。申请人对通知有异议的，应当自收到通知之日起20个工作日内向审评机构提出书面复审申请并说明复审理由。复审的内容仅限于原申请事项及申请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审评机构应当自受理复审申请之日起30个工作日内作出复审决定。改变不予注册建议的，应当书面通知注册申请人。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第十八条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国家食品药品监督管理总局应当自受理申请之日起20个工作日内对特殊医学用途配方食品注册申请作出是否准予注册的决定。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现场核查、抽样检验、复审所需要的时间不计算在审评和注册决定的期限内。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对于申请进口特殊医学用途配方食品注册的，应当根据境外生产企业的实际情况，确定境外现场核查和抽样检验时限。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第十九条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作出准予注册决定的，受理机构自决定之日起10个工作日内颁发、送达特殊医学用途配方食品注册证书；作出不予注册决定的，应当说明理由，受理机构自决定之日起10个工作日内发出特殊医学用途配方食品不予注册决定，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特殊医学用途配方食品注册证书有效期限为5年。</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特殊医学用途配方食品注册证书及附件应当载明下列事项：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（一）产品名称；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（二）企业名称、生产地址；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（三）注册号及有效期；</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（四）产品类别；</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（五）产品配方；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（六）生产工艺；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（七）产品标签、说明书。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特殊医学用途配方食品注册号的格式为：国食注字TY+4位年号+4位顺序号，其中TY代表特殊医学用途配方食品。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default" w:ascii="Times New Roman" w:hAnsi="Times New Roman" w:eastAsia="楷体_GB2312" w:cs="Times New Roman"/>
          <w:color w:val="auto"/>
          <w:kern w:val="2"/>
          <w:sz w:val="32"/>
          <w:szCs w:val="32"/>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outlineLvl w:val="1"/>
        <w:rPr>
          <w:rFonts w:hint="default" w:ascii="Times New Roman" w:hAnsi="Times New Roman" w:eastAsia="楷体_GB2312" w:cs="Times New Roman"/>
          <w:color w:val="auto"/>
          <w:kern w:val="2"/>
          <w:sz w:val="32"/>
          <w:szCs w:val="32"/>
        </w:rPr>
      </w:pPr>
      <w:r>
        <w:rPr>
          <w:rFonts w:hint="eastAsia" w:ascii="Times New Roman" w:hAnsi="Times New Roman" w:eastAsia="楷体_GB2312" w:cs="Times New Roman"/>
          <w:color w:val="auto"/>
          <w:kern w:val="2"/>
          <w:sz w:val="32"/>
          <w:szCs w:val="32"/>
          <w:lang w:val="en-US" w:eastAsia="zh-CN"/>
        </w:rPr>
        <w:t xml:space="preserve">第三节 </w:t>
      </w:r>
      <w:r>
        <w:rPr>
          <w:rFonts w:hint="default" w:ascii="Times New Roman" w:hAnsi="Times New Roman" w:eastAsia="楷体_GB2312" w:cs="Times New Roman"/>
          <w:color w:val="auto"/>
          <w:kern w:val="2"/>
          <w:sz w:val="32"/>
          <w:szCs w:val="32"/>
        </w:rPr>
        <w:t xml:space="preserve"> 变更与延续注册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both"/>
        <w:textAlignment w:val="auto"/>
        <w:outlineLvl w:val="1"/>
        <w:rPr>
          <w:rFonts w:hint="default" w:ascii="Times New Roman" w:hAnsi="Times New Roman" w:eastAsia="楷体_GB2312" w:cs="Times New Roman"/>
          <w:color w:val="auto"/>
          <w:kern w:val="2"/>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申请人需要变更特殊医学用途配方食品注册证书及其附件载明事项的，应当向国家食品药品监督管理总局提出变更注册申请，并提交下列材料：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（一）特殊医学用途配方食品变更注册申请书；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（二）变更注册证书及其附件载明事项的证明材料。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申请人变更产品配方、生产工艺等可能影响产品安全性、营养充足性以及特殊医学用途临床效果的事项，国家食品药品监督管理总局应当进行实质性审查，并在本办法第十八条规定的期限内完成变更注册工作。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申请人变更企业名称、生产地址名称等不影响产品安全性、营养充足性以及特殊医学用途临床效果的事项，国家食品药品监督管理总局应当进行核实，并自受理之日起10个工作日内作出是否准予变更注册的决定。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第二十三条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国家食品药品监督管理总局准予变更注册申请的，向申请人换发注册证书，原注册号不变，证书有效期不变；不予批准变更注册申请的，应当作出不予变更注册决定。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特殊医学用途配方食品注册证书有效期届满，需要继续生产或者进口的，应当在有效期届满6个月前，向国家食品药品监督管理总局提出延续注册申请，并提交下列材料：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（一）特殊医学用途配方食品延续注册申请书；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（二）特殊医学用途配方食品质量安全管理情况；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（三）特殊医学用途配方食品质量管理体系自查报告；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（四）特殊医学用途配方食品跟踪评价情况。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国家食品药品监督管理总局根据需要对延续注册申请进行实质性审查，并在本办法第十八条规定的期限内完成延续注册工作。逾期未作决定的，视为准予延续。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国家食品药品监督管理总局准予延续注册的，向申请人换发注册证书，原注册号不变，证书有效期自批准之日起重新计算；不批准延续注册申请的，应当作出不予延续注册决定。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第二十七条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有下列情形之一的，不予延续注册：</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xml:space="preserve">（一）注册人未在规定时间内提出延续注册申请的； </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（二）注册产品连续12个月内在省级以上监督抽检中出现3批次以上不合格的；</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（三）企业未能保持注册时生产、检验能力的；</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（四）其他不符合法律法规以及产品安全性、营养充足性和特殊医学用途临床效果要求的情形。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第二十八条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特殊医学用途配方食品变更注册与延续注册程序，本节未作规定的，适用本章第一节、第二节的相关规定。</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第三章 </w:t>
      </w:r>
      <w:r>
        <w:rPr>
          <w:rFonts w:hint="default" w:ascii="Times New Roman" w:hAnsi="Times New Roman" w:eastAsia="黑体" w:cs="Times New Roman"/>
          <w:color w:val="auto"/>
          <w:sz w:val="32"/>
          <w:szCs w:val="32"/>
        </w:rPr>
        <w:t xml:space="preserve"> 临床试验</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第二十九条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特定全营养配方食品需要进行临床试验的，由申请人委托符合要求的临床试验机构出具临床试验报告。临床试验报告应当包括完整的统计分析报告和数据。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临床试验应当按照特殊医学用途配方食品临床试验质量管理规范开展。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特殊医学用途配方食品临床试验质量管理规范由国家食品药品监督管理总局发布。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申请人组织开展多中心临床试验的，应当明确组长单位和统计单位。</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第三十二条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申请人应当对用于临床试验的试验样品和对照样品的质量安全负责。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用于临床试验的试验样品应当由申请人生产并经检验合格，生产条件应当符合特殊医学用途配方食品良好生产规范。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第四章  </w:t>
      </w:r>
      <w:r>
        <w:rPr>
          <w:rFonts w:hint="default" w:ascii="Times New Roman" w:hAnsi="Times New Roman" w:eastAsia="黑体" w:cs="Times New Roman"/>
          <w:color w:val="auto"/>
          <w:sz w:val="32"/>
          <w:szCs w:val="32"/>
        </w:rPr>
        <w:t>标签和说明书</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第三十三条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 xml:space="preserve"> 特殊医学用途配方食品的标签，应当依照法律、法规、规章和食品安全国家标准的规定进行标注。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特殊医学用途配方食品的标签和说明书的内容应当一致，涉及特殊医学用途配方食品注册证书内容的，应当与注册证书内容一致，并标明注册号。</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标签已经涵盖说明书全部内容的，可以不另附说明书。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第三十五条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特殊医学用途配方食品标签、说明书应当真实准确、清晰持久、醒目易读。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特殊医学用途配方食品标签、说明书不得含有虚假内容，不得涉及疾病预防、治疗功能。生产企业对其提供的标签、说明书的内容负责。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特殊医学用途配方食品的名称应当反映食品的真实属性，使用食品安全国家标准规定的分类名称或者等效名称。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第三十八条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特殊医学用途配方食品标签、说明书应当按照食品安全国家标准的规定在醒目位置标示下列内容：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（一）请在医生或者临床营养师指导下使用；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（二）不适用于非目标人群使用；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（三）本品禁止用于肠外营养支持和静脉注射。</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第五章  </w:t>
      </w:r>
      <w:r>
        <w:rPr>
          <w:rFonts w:hint="default" w:ascii="Times New Roman" w:hAnsi="Times New Roman" w:eastAsia="黑体" w:cs="Times New Roman"/>
          <w:color w:val="auto"/>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第三十九条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特殊医学用途配方食品生产企业应当按照批准注册的产品配方、生产工艺等技术要求组织生产，保证特殊医学用途配方食品安全。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特殊医学用途配方食品生产企业提出的变更注册申请未经批准前，应当严格按照已经批准的注册证书及其附件载明的内容组织生产，不得擅自改变生产条件和要求。</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特殊医学用途配方食品生产企业提出的变更注册申请经批准后，应当严格按照变更后的特殊医学用途配方食品注册证书及其附件载明的内容组织生产。</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参与特殊医学用途配方食品注册申请受理、技术审评、现场核查、抽样检验、临床试验等工作的人员和专家，应当保守注册中知悉的商业秘密。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申请人应当按照国家有关规定对申请材料中的商业秘密进行标注并注明依据。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第四十一条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有下列情形之一的，国家食品药品监督管理总局根据利害关系人的请求或者依据职权，可以撤销特殊医学用途配方食品注册：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（一）工作人员滥用职权、玩忽职守作出准予注册决定的；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（二）超越法定职权作出准予注册决定的；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（三）违反法定程序作出准予注册决定的；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（四）对不具备申请资格或者不符合法定条件的申请人准予注册的；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（五）食品生产许可证被吊销的；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（六）依法可以撤销注册的其他情形。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xml:space="preserve">第四十二条 </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有下列情形之一的，国家食品药品监督管理总局应当依法办理特殊医学用途配方食品注册注销手续：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（一）企业申请注销的；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（二）有效期届满未延续的；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（三）企业依法终止的；</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sz w:val="32"/>
          <w:szCs w:val="32"/>
        </w:rPr>
      </w:pPr>
      <w:bookmarkStart w:id="0" w:name="_GoBack"/>
      <w:r>
        <w:rPr>
          <w:rFonts w:hint="default" w:ascii="Times New Roman" w:hAnsi="Times New Roman" w:eastAsia="仿宋_GB2312" w:cs="Times New Roman"/>
          <w:color w:val="auto"/>
          <w:sz w:val="32"/>
          <w:szCs w:val="32"/>
        </w:rPr>
        <w:t>（四）注册依法被撤销、撤回，或者注册证书依法被吊销的；</w:t>
      </w:r>
    </w:p>
    <w:bookmarkEnd w:id="0"/>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（五）法律法规规定应当注销注册的其他情形。</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第六章  </w:t>
      </w:r>
      <w:r>
        <w:rPr>
          <w:rFonts w:hint="default" w:ascii="Times New Roman" w:hAnsi="Times New Roman" w:eastAsia="黑体" w:cs="Times New Roman"/>
          <w:color w:val="auto"/>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第四十三条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申请人隐瞒真实情况或者提供虚假材料申请注册的，国家食品药品监督管理总局不予受理或者不予注册，并给予警告；申请人在1年内不得再次申请注册。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第四十四条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被许可人以欺骗、贿赂等不正当手段取得注册证书的，由国家食品药品监督管理总局撤销注册证书，并处1万元以上3万元以下罚款；申请人在3年内不得再次申请注册。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第四十五条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伪造、涂改、倒卖、出租、出借、转让特殊医学用途配方食品注册证书的，由县级以上食品药品监督管理部门责令改正，给予警告，并处1万元以下罚款；情节严重的，处1万元以上3万元以下罚款。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第四十六条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注册人变更不影响产品安全性、营养充足性以及特殊医学用途临床效果的事项，未依法申请变更的，由县级以上食品药品监督管理部门责令改正，给予警告；拒不改正的，处1万元以上3万元以下罚款。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注册人变更产品配方、生产工艺等影响产品安全性、营养充足性以及特殊医学用途临床效果的事项，未依法申请变更的，由县级以上食品药品监督管理部门依照食品安全法第一百二十四条第一款的规定进行处罚。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第四十七条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食品药品监督管理部门及其工作人员对不符合条件的申请人准予注册，或者超越法定职权准予注册的，依照食品安全法第一百四十四条的规定给予处理。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食品药品监督管理部门及其工作人员在注册审批过程中滥用职权、玩忽职守、徇私舞弊的，依照食品安全法第一百四十五条的规定给予处理。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 xml:space="preserve">第七章  </w:t>
      </w:r>
      <w:r>
        <w:rPr>
          <w:rFonts w:hint="default" w:ascii="Times New Roman" w:hAnsi="Times New Roman" w:eastAsia="黑体" w:cs="Times New Roman"/>
          <w:color w:val="auto"/>
          <w:sz w:val="32"/>
          <w:szCs w:val="32"/>
        </w:rPr>
        <w:t>附</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黑体" w:cs="Times New Roman"/>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default" w:ascii="Times New Roman" w:hAnsi="Times New Roman" w:eastAsia="黑体" w:cs="Times New Roman"/>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第四十八条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特殊医学用途配方食品，是指为满足进食受限、消化吸收障碍、代谢紊乱或者特定疾病状态人群对营养素或者膳食的特殊需要，专门加工配制而成的配方食品，包括适用于0月龄至12月龄的特殊医学用途婴儿配方食品和适用于1岁以上人群的特殊医学用途配方食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第四十九条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适用于0月龄至12月龄的特殊医学用途婴儿配方食品包括无乳糖配方食品或者低乳糖配方食品、乳蛋白部分水解配方食品、乳蛋白深度水解配方食品或者氨基酸配方食品、早产或者低出生体重婴儿配方食品、氨基酸代谢障碍配方食品和母乳营养补充剂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　第五十条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适用于1岁以上人群的特殊医学用途配方食品，包括全营养配方食品、特定全营养配方食品、非全营养配方食品。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全营养配方食品，是指可以作为单一营养来源满足目标人群营养需求的特殊医学用途配方食品。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特定全营养配方食品，是指可以作为单一营养来源满足目标人群在特定疾病或者医学状况下营养需求的特殊医学用途配方食品。常见特定全营养配方食品有：糖尿病全营养配方食品，呼吸系统疾病全营养配方食品，肾病全营养配方食品，肿瘤全营养配方食品，肝病全营养配方食品，肌肉衰减综合征全营养配方食品，创伤、感染、手术及其他应激状态全营养配方食品，炎性肠病全营养配方食品，食物蛋白过敏全营养配方食品，难治性癫痫全营养配方食品，胃肠道吸收障碍、胰腺炎全营养配方食品，脂肪酸代谢异常全营养配方食品，肥胖、减脂手术全营养配方食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非全营养配方食品，是指可以满足目标人群部分营养需求的特殊医学用途配方食品，不适用于作为单一营养来源。常见非全营养配方食品有：营养素组件（蛋白质组件、脂肪组件、碳水化合物组件），电解质配方，增稠组件，流质配方和氨基酸代谢障碍配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第五十一条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医疗机构配制供病人食用的营养餐不适用本办法。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color w:val="auto"/>
        </w:rPr>
      </w:pPr>
      <w:r>
        <w:rPr>
          <w:rFonts w:hint="default" w:ascii="Times New Roman" w:hAnsi="Times New Roman" w:eastAsia="仿宋_GB2312" w:cs="Times New Roman"/>
          <w:color w:val="auto"/>
          <w:sz w:val="32"/>
          <w:szCs w:val="32"/>
        </w:rPr>
        <w:t>　　</w:t>
      </w:r>
      <w:r>
        <w:rPr>
          <w:rFonts w:hint="default" w:ascii="Times New Roman" w:hAnsi="Times New Roman" w:eastAsia="黑体" w:cs="Times New Roman"/>
          <w:color w:val="auto"/>
          <w:sz w:val="32"/>
          <w:szCs w:val="32"/>
        </w:rPr>
        <w:t>第五十二条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本办法自2016年7月1日起施行。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435270"/>
    <w:rsid w:val="1E6523AC"/>
    <w:rsid w:val="1F361A96"/>
    <w:rsid w:val="22440422"/>
    <w:rsid w:val="236E69A3"/>
    <w:rsid w:val="25117842"/>
    <w:rsid w:val="27FA06B1"/>
    <w:rsid w:val="2CFD09FD"/>
    <w:rsid w:val="2EF4631F"/>
    <w:rsid w:val="31A15F24"/>
    <w:rsid w:val="33AB32FB"/>
    <w:rsid w:val="395347B5"/>
    <w:rsid w:val="39A232A0"/>
    <w:rsid w:val="39E745AA"/>
    <w:rsid w:val="3ADC67D8"/>
    <w:rsid w:val="3B5A6BBB"/>
    <w:rsid w:val="3D41110E"/>
    <w:rsid w:val="3EDA13A6"/>
    <w:rsid w:val="42F058B7"/>
    <w:rsid w:val="436109F6"/>
    <w:rsid w:val="441A38D4"/>
    <w:rsid w:val="49D91622"/>
    <w:rsid w:val="4A073F9B"/>
    <w:rsid w:val="4B5B5EF0"/>
    <w:rsid w:val="4BC77339"/>
    <w:rsid w:val="4C9236C5"/>
    <w:rsid w:val="505C172E"/>
    <w:rsid w:val="512207F0"/>
    <w:rsid w:val="52F46F0B"/>
    <w:rsid w:val="538E3AFD"/>
    <w:rsid w:val="53D8014D"/>
    <w:rsid w:val="53F1220D"/>
    <w:rsid w:val="55186E99"/>
    <w:rsid w:val="55304C19"/>
    <w:rsid w:val="55E064E0"/>
    <w:rsid w:val="5613290E"/>
    <w:rsid w:val="572C6D10"/>
    <w:rsid w:val="5A852F89"/>
    <w:rsid w:val="5DC34279"/>
    <w:rsid w:val="5E077A21"/>
    <w:rsid w:val="5F265C89"/>
    <w:rsid w:val="602816AC"/>
    <w:rsid w:val="602E29D0"/>
    <w:rsid w:val="6037544B"/>
    <w:rsid w:val="608816D1"/>
    <w:rsid w:val="60EF4E7F"/>
    <w:rsid w:val="628F2D2D"/>
    <w:rsid w:val="64874BF3"/>
    <w:rsid w:val="665233C1"/>
    <w:rsid w:val="689A69DF"/>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6263</Words>
  <Characters>6289</Characters>
  <Lines>63</Lines>
  <Paragraphs>17</Paragraphs>
  <TotalTime>5</TotalTime>
  <ScaleCrop>false</ScaleCrop>
  <LinksUpToDate>false</LinksUpToDate>
  <CharactersWithSpaces>6666</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2022-09-20T08:35:12Z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