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textAlignment w:val="auto"/>
        <w:rPr>
          <w:rFonts w:hint="eastAsia" w:ascii="Times New Roman" w:hAnsi="Times New Roman" w:eastAsia="仿宋_GB2312" w:cs="仿宋_GB2312"/>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jc w:val="center"/>
        <w:textAlignment w:val="auto"/>
        <w:rPr>
          <w:rFonts w:hint="eastAsia" w:ascii="Times New Roman" w:hAnsi="Times New Roman" w:eastAsia="方正小标宋简体" w:cs="方正小标宋简体"/>
          <w:color w:val="auto"/>
          <w:kern w:val="0"/>
          <w:sz w:val="44"/>
          <w:szCs w:val="44"/>
        </w:rPr>
      </w:pPr>
      <w:r>
        <w:rPr>
          <w:rFonts w:hint="eastAsia" w:ascii="Times New Roman" w:hAnsi="Times New Roman" w:eastAsia="方正小标宋简体" w:cs="方正小标宋简体"/>
          <w:color w:val="auto"/>
          <w:kern w:val="0"/>
          <w:sz w:val="44"/>
          <w:szCs w:val="44"/>
        </w:rPr>
        <w:t>特种设备安全监督检查办法</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jc w:val="center"/>
        <w:textAlignment w:val="auto"/>
        <w:rPr>
          <w:rFonts w:hint="eastAsia" w:ascii="Times New Roman" w:hAnsi="Times New Roman" w:eastAsia="仿宋_GB2312" w:cs="仿宋_GB2312"/>
          <w:color w:val="auto"/>
          <w:kern w:val="0"/>
          <w:sz w:val="32"/>
          <w:szCs w:val="32"/>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color w:val="auto"/>
          <w:sz w:val="32"/>
          <w:szCs w:val="32"/>
        </w:rPr>
      </w:pPr>
      <w:bookmarkStart w:id="0" w:name="_GoBack"/>
      <w:r>
        <w:rPr>
          <w:rFonts w:hint="eastAsia" w:ascii="Times New Roman" w:hAnsi="Times New Roman" w:eastAsia="楷体_GB2312" w:cs="楷体_GB2312"/>
          <w:color w:val="auto"/>
          <w:sz w:val="32"/>
          <w:szCs w:val="32"/>
        </w:rPr>
        <w:t>（2022年5月26日国家市场监督管理总局令第57号公布）</w:t>
      </w:r>
    </w:p>
    <w:bookmarkEnd w:id="0"/>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jc w:val="center"/>
        <w:textAlignment w:val="auto"/>
        <w:rPr>
          <w:rFonts w:hint="eastAsia" w:ascii="Times New Roman" w:hAnsi="Times New Roman" w:eastAsia="仿宋_GB2312" w:cs="仿宋_GB2312"/>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jc w:val="center"/>
        <w:textAlignment w:val="auto"/>
        <w:rPr>
          <w:rFonts w:hint="eastAsia" w:ascii="Times New Roman" w:hAnsi="Times New Roman" w:eastAsia="黑体" w:cs="黑体"/>
          <w:color w:val="auto"/>
          <w:kern w:val="0"/>
          <w:sz w:val="32"/>
          <w:szCs w:val="32"/>
        </w:rPr>
      </w:pPr>
      <w:r>
        <w:rPr>
          <w:rFonts w:hint="eastAsia" w:ascii="Times New Roman" w:hAnsi="Times New Roman" w:eastAsia="黑体" w:cs="黑体"/>
          <w:color w:val="auto"/>
          <w:kern w:val="0"/>
          <w:sz w:val="32"/>
          <w:szCs w:val="32"/>
        </w:rPr>
        <w:t>第一章</w:t>
      </w:r>
      <w:r>
        <w:rPr>
          <w:rFonts w:hint="eastAsia" w:ascii="Times New Roman" w:hAnsi="Times New Roman" w:eastAsia="黑体" w:cs="黑体"/>
          <w:color w:val="auto"/>
          <w:kern w:val="0"/>
          <w:sz w:val="32"/>
          <w:szCs w:val="32"/>
          <w:lang w:eastAsia="zh-CN"/>
        </w:rPr>
        <w:t xml:space="preserve">  </w:t>
      </w:r>
      <w:r>
        <w:rPr>
          <w:rFonts w:hint="eastAsia" w:ascii="Times New Roman" w:hAnsi="Times New Roman" w:eastAsia="黑体" w:cs="黑体"/>
          <w:color w:val="auto"/>
          <w:kern w:val="0"/>
          <w:sz w:val="32"/>
          <w:szCs w:val="32"/>
        </w:rPr>
        <w:t>总</w:t>
      </w:r>
      <w:r>
        <w:rPr>
          <w:rFonts w:hint="eastAsia" w:ascii="Times New Roman" w:hAnsi="Times New Roman" w:eastAsia="黑体" w:cs="黑体"/>
          <w:color w:val="auto"/>
          <w:kern w:val="0"/>
          <w:sz w:val="32"/>
          <w:szCs w:val="32"/>
          <w:lang w:val="en-US" w:eastAsia="zh-CN"/>
        </w:rPr>
        <w:t xml:space="preserve">    </w:t>
      </w:r>
      <w:r>
        <w:rPr>
          <w:rFonts w:hint="eastAsia" w:ascii="Times New Roman" w:hAnsi="Times New Roman" w:eastAsia="黑体" w:cs="黑体"/>
          <w:color w:val="auto"/>
          <w:kern w:val="0"/>
          <w:sz w:val="32"/>
          <w:szCs w:val="32"/>
        </w:rPr>
        <w:t>则</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textAlignment w:val="auto"/>
        <w:rPr>
          <w:rFonts w:hint="eastAsia" w:ascii="Times New Roman" w:hAnsi="Times New Roman" w:eastAsia="仿宋_GB2312" w:cs="仿宋_GB2312"/>
          <w:color w:val="auto"/>
          <w:kern w:val="0"/>
          <w:sz w:val="32"/>
          <w:szCs w:val="32"/>
          <w:lang w:eastAsia="zh-CN"/>
        </w:rPr>
      </w:pPr>
      <w:r>
        <w:rPr>
          <w:rFonts w:hint="eastAsia" w:ascii="Times New Roman" w:hAnsi="Times New Roman" w:eastAsia="仿宋_GB2312" w:cs="仿宋_GB2312"/>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第一条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为了规范特种设备安全监督检查工作，落实特种设备生产、经营、使用单位和检验、检测机构安全责任，根据《中华人民共和国特种设备安全法》《特种设备安全监察条例》等法律、行政法规，制定本办法。</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市场监督管理部门对特种设备生产（包括设计、制造、安装、改造、修理）、经营、使用（含充装，下同）单位和检验、检测机构实施监督检查，适用本办法。</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第三条</w:t>
      </w:r>
      <w:r>
        <w:rPr>
          <w:rFonts w:hint="eastAsia" w:ascii="Times New Roman" w:hAnsi="Times New Roman" w:eastAsia="黑体" w:cs="仿宋_GB2312"/>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国家市场监督管理总局负责监督指导全国特种设备安全监督检查工作，可以根据需要组织开展监督检查。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县级以上地方市场监督管理部门负责本行政区域内的特种设备安全监督检查工作，根据上级市场监督管理部门部署或者实际工作需要，组织开展监督检查。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市场监督管理所依照市场监管法律、法规、规章有关规定以及上级市场监督管理部门确定的权限，承担相关特种设备安全监督检查工作。</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第四条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特种设备安全监督检查工作应当遵循风险防控、分级负责、分类实施、照单履职的原则。</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textAlignment w:val="auto"/>
        <w:rPr>
          <w:rFonts w:hint="eastAsia" w:ascii="Times New Roman" w:hAnsi="Times New Roman" w:eastAsia="仿宋_GB2312" w:cs="仿宋_GB2312"/>
          <w:color w:val="auto"/>
          <w:kern w:val="0"/>
          <w:sz w:val="32"/>
          <w:szCs w:val="32"/>
          <w:lang w:eastAsia="zh-CN"/>
        </w:rPr>
      </w:pPr>
      <w:r>
        <w:rPr>
          <w:rFonts w:hint="eastAsia" w:ascii="Times New Roman" w:hAnsi="Times New Roman" w:eastAsia="仿宋_GB2312" w:cs="仿宋_GB2312"/>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jc w:val="center"/>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第二章</w:t>
      </w:r>
      <w:r>
        <w:rPr>
          <w:rFonts w:hint="eastAsia" w:ascii="Times New Roman" w:hAnsi="Times New Roman" w:eastAsia="黑体" w:cs="黑体"/>
          <w:color w:val="auto"/>
          <w:kern w:val="0"/>
          <w:sz w:val="32"/>
          <w:szCs w:val="32"/>
          <w:lang w:eastAsia="zh-CN"/>
        </w:rPr>
        <w:t xml:space="preserve">  </w:t>
      </w:r>
      <w:r>
        <w:rPr>
          <w:rFonts w:hint="eastAsia" w:ascii="Times New Roman" w:hAnsi="Times New Roman" w:eastAsia="黑体" w:cs="黑体"/>
          <w:color w:val="auto"/>
          <w:kern w:val="0"/>
          <w:sz w:val="32"/>
          <w:szCs w:val="32"/>
        </w:rPr>
        <w:t>监督检查分类</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textAlignment w:val="auto"/>
        <w:rPr>
          <w:rFonts w:hint="eastAsia" w:ascii="Times New Roman" w:hAnsi="Times New Roman" w:eastAsia="仿宋_GB2312" w:cs="仿宋_GB2312"/>
          <w:color w:val="auto"/>
          <w:kern w:val="0"/>
          <w:sz w:val="32"/>
          <w:szCs w:val="32"/>
          <w:lang w:eastAsia="zh-CN"/>
        </w:rPr>
      </w:pPr>
      <w:r>
        <w:rPr>
          <w:rFonts w:hint="eastAsia" w:ascii="Times New Roman" w:hAnsi="Times New Roman" w:eastAsia="仿宋_GB2312" w:cs="仿宋_GB2312"/>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第五条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特种设备安全监督检查分为常规监督检查、专项监督检查、证后监督检查和其他监督检查。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第六条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市场监督管理部门依照年度常规监督检查计划，对特种设备生产、使用单位实施常规监督检查。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常规监督检查的项目和内容按照国家市场监督管理总局的有关规定执行。</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第七条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市级市场监督管理部门负责制定年度常规监督检查计划，确定辖区内市场监督管理部门任务分工，并分级负责实施。</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年度常规监督检查计划应当报告同级人民政府。对特种设备生产单位开展的年度常规监督检查计划还应当同时报告省级市场监督管理部门。</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第八条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常规监督检查应当采用“双随机、一公开”方式，随机抽取被检查单位和特种设备安全监督检查人员（以下简称检查人员），并定期公布监督检查结果。</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常规监督检查对象库应当将取得许可资格且住所地在本辖区的特种设备生产单位和本辖区办理特种设备使用登记的使用单位全部纳入。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特种设备生产单位制造地与住所地不在同一辖区的，由制造地的市级市场监督管理部门纳入常规监督检查对象库。</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第九条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市级市场监督管理部门应当根据特种设备安全状况，确定常规监督检查重点单位名录，并对重点单位加大抽取比例。</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符合以下情形之一的，应当列入重点单位名录：</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（一）学校、幼儿园以及医院、车站、客运码头、机场、商场、体育场馆、展览馆、公园、旅游景区等公众聚集场所的特种设备使用单位；</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（二）近二年使用的特种设备发生过事故并对事故负有责任的；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（三）涉及特种设备安全的投诉举报较多，且经调查属实的；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（四）市场监督管理部门认为应当列入的其他情形。</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第十条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场监督管理部门为防范区域性、系统性风险，做好重大活动、重点工程以及节假日等重点时段安全保障，或者根据各级人民政府和上级市场监督管理部门的统一部署，在特定时间内对特定区域、领域的特种设备生产、经营、使用单位和检验、检测机构实施专项监督检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第十一条</w:t>
      </w:r>
      <w:r>
        <w:rPr>
          <w:rFonts w:hint="eastAsia" w:ascii="Times New Roman" w:hAnsi="Times New Roman" w:eastAsia="黑体" w:cs="黑体"/>
          <w:color w:val="auto"/>
          <w:kern w:val="0"/>
          <w:sz w:val="32"/>
          <w:szCs w:val="32"/>
          <w:lang w:eastAsia="zh-CN"/>
        </w:rPr>
        <w:t xml:space="preserve">  </w:t>
      </w:r>
      <w:r>
        <w:rPr>
          <w:rFonts w:hint="eastAsia" w:ascii="Times New Roman" w:hAnsi="Times New Roman" w:eastAsia="仿宋_GB2312" w:cs="仿宋_GB2312"/>
          <w:color w:val="auto"/>
          <w:kern w:val="0"/>
          <w:sz w:val="32"/>
          <w:szCs w:val="32"/>
        </w:rPr>
        <w:t>组织专项监督检查的市场监督管理部门应当制定专项监督检查工作方案，明确监督检查的范围、任务分工、进度安排等要求。</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专项监督检查工作方案应当要求特种设备生产、经营、使用单位和检验、检测机构开展自查自纠，并规定专门的监督检查项目和内容，或者参照常规监督检查的项目和内容执行。</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第十二条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市场监督管理部门对其许可的特种设备生产、充装单位和检验、检测机构是否持续保持许可条件、依法从事许可活动实施证后监督检查。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第十三条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证后监督检查由实施行政许可的市场监督管理部门负责组织实施，或者委托下级市场监督管理部门组织实施。</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第十四条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组织实施证后监督检查的市场监督管理部门应当制定证后监督检查年度计划和工作方案。</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证后监督检查年度计划应当明确检查对象、进度安排等要求，工作方案应当明确检查方式、检查内容等要求。</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第十五条</w:t>
      </w:r>
      <w:r>
        <w:rPr>
          <w:rFonts w:hint="eastAsia" w:ascii="Times New Roman" w:hAnsi="Times New Roman" w:eastAsia="黑体" w:cs="黑体"/>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市场监督管理部门开展证后监督检查应当采用“双随机、一公开”方式，随机抽取被检查单位和检查人员，并及时公布监督检查结果。</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证后监督检查对象库应当将本机关许可的特种设备生产、充装单位和检验、检测机构全部列入。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第十六条</w:t>
      </w:r>
      <w:r>
        <w:rPr>
          <w:rFonts w:hint="eastAsia" w:ascii="Times New Roman" w:hAnsi="Times New Roman" w:eastAsia="黑体" w:cs="黑体"/>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市场监督管理部门应当根据特种设备生产、充装质量安全状况或者特种设备检验、检测质量状况，确定证后监督检查重点单位名录，并对重点单位加大抽取比例。</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符合以下情形之一的，应当列入重点单位名录：</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（一）上一年度自我声明承诺换证的；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（二）上一年度生产、充装、检验、检测的特种设备发生过事故并对事故负有责任，或者因特种设备生产、充装、检验、检测问题被行政处罚的；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（三）上一年度因产品缺陷未履行主动召回义务被责令召回的；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（四）涉及特种设备安全的投诉举报较多，且经调查属实的；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（五）市场监督管理部门认为应当列入的其他情形。</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第十七条</w:t>
      </w:r>
      <w:r>
        <w:rPr>
          <w:rFonts w:hint="eastAsia" w:ascii="Times New Roman" w:hAnsi="Times New Roman" w:eastAsia="黑体" w:cs="黑体"/>
          <w:color w:val="auto"/>
          <w:kern w:val="0"/>
          <w:sz w:val="32"/>
          <w:szCs w:val="32"/>
          <w:lang w:eastAsia="zh-CN"/>
        </w:rPr>
        <w:t xml:space="preserve">  </w:t>
      </w:r>
      <w:r>
        <w:rPr>
          <w:rFonts w:hint="eastAsia" w:ascii="Times New Roman" w:hAnsi="Times New Roman" w:eastAsia="仿宋_GB2312" w:cs="仿宋_GB2312"/>
          <w:color w:val="auto"/>
          <w:kern w:val="0"/>
          <w:sz w:val="32"/>
          <w:szCs w:val="32"/>
        </w:rPr>
        <w:t>同一年度，对同一单位已经进行证后监督检查的不再进行常规监督检查。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第十八条</w:t>
      </w:r>
      <w:r>
        <w:rPr>
          <w:rFonts w:hint="eastAsia" w:ascii="Times New Roman" w:hAnsi="Times New Roman" w:eastAsia="黑体" w:cs="黑体"/>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场监督管理部门对其他部门移送、上级交办、投诉、举报等途径和检验、检测、监测等方式发现的特种设备安全违法行为或者事故隐患线索，根据需要可以对特种设备生产、经营、使用单位和检验、检测机构实施监督检查。开展监督检查前，应当确定针对性的监督检查项目和内容。</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lang w:eastAsia="zh-CN"/>
        </w:rPr>
      </w:pPr>
      <w:r>
        <w:rPr>
          <w:rFonts w:hint="eastAsia" w:ascii="Times New Roman" w:hAnsi="Times New Roman" w:eastAsia="仿宋_GB2312" w:cs="仿宋_GB2312"/>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jc w:val="center"/>
        <w:textAlignment w:val="auto"/>
        <w:rPr>
          <w:rFonts w:hint="eastAsia" w:ascii="Times New Roman" w:hAnsi="Times New Roman" w:eastAsia="黑体" w:cs="黑体"/>
          <w:color w:val="auto"/>
          <w:kern w:val="0"/>
          <w:sz w:val="32"/>
          <w:szCs w:val="32"/>
        </w:rPr>
      </w:pPr>
      <w:r>
        <w:rPr>
          <w:rFonts w:hint="eastAsia" w:ascii="Times New Roman" w:hAnsi="Times New Roman" w:eastAsia="黑体" w:cs="黑体"/>
          <w:color w:val="auto"/>
          <w:kern w:val="0"/>
          <w:sz w:val="32"/>
          <w:szCs w:val="32"/>
        </w:rPr>
        <w:t>第三章</w:t>
      </w:r>
      <w:r>
        <w:rPr>
          <w:rFonts w:hint="eastAsia" w:ascii="Times New Roman" w:hAnsi="Times New Roman" w:eastAsia="黑体" w:cs="黑体"/>
          <w:color w:val="auto"/>
          <w:kern w:val="0"/>
          <w:sz w:val="32"/>
          <w:szCs w:val="32"/>
          <w:lang w:eastAsia="zh-CN"/>
        </w:rPr>
        <w:t xml:space="preserve">  </w:t>
      </w:r>
      <w:r>
        <w:rPr>
          <w:rFonts w:hint="eastAsia" w:ascii="Times New Roman" w:hAnsi="Times New Roman" w:eastAsia="黑体" w:cs="黑体"/>
          <w:color w:val="auto"/>
          <w:kern w:val="0"/>
          <w:sz w:val="32"/>
          <w:szCs w:val="32"/>
        </w:rPr>
        <w:t>监督检查程序</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textAlignment w:val="auto"/>
        <w:rPr>
          <w:rFonts w:hint="eastAsia" w:ascii="Times New Roman" w:hAnsi="Times New Roman" w:eastAsia="仿宋_GB2312" w:cs="仿宋_GB2312"/>
          <w:color w:val="auto"/>
          <w:kern w:val="0"/>
          <w:sz w:val="32"/>
          <w:szCs w:val="32"/>
          <w:lang w:eastAsia="zh-CN"/>
        </w:rPr>
      </w:pPr>
      <w:r>
        <w:rPr>
          <w:rFonts w:hint="eastAsia" w:ascii="Times New Roman" w:hAnsi="Times New Roman" w:eastAsia="仿宋_GB2312" w:cs="仿宋_GB2312"/>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第十九条</w:t>
      </w:r>
      <w:r>
        <w:rPr>
          <w:rFonts w:hint="eastAsia" w:ascii="Times New Roman" w:hAnsi="Times New Roman" w:eastAsia="黑体" w:cs="黑体"/>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市场监督管理部门实施监督检查时，应当有二名以上检查人员参加，出示有效的特种设备安全行政执法证件，并说明检查的任务来源、依据、内容、要求等。</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市场监督管理部门根据需要可以委托相关具有公益类事业单位法人资格的特种设备检验机构提供监督检查的技术支持和服务，或者邀请相关专业技术人员参加监督检查。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第二十条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特种设备生产、经营、使用单位和检验、检测机构及其人员应当积极配合市场监督管理部门依法实施的特种设备安全监督检查。</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特种设备生产、经营、使用单位和检验、检测机构应当按照专项监督检查工作方案的要求开展自查自纠。</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第二十一条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检查人员应当对监督检查的基本情况、发现的问题及处理措施等作出记录，并由检查人员和被检查单位的有关负责人在监督检查记录上签字确认。</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第二十二条</w:t>
      </w:r>
      <w:r>
        <w:rPr>
          <w:rFonts w:hint="eastAsia" w:ascii="Times New Roman" w:hAnsi="Times New Roman" w:eastAsia="黑体" w:cs="仿宋_GB2312"/>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检查人员可以根据监督检查情况，要求被检查单位提供相关材料。被检查单位应当如实提供，并在提供的材料上签名或者盖章。当场无法提供材料的，应当在检查人员通知的期限内提供。</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第二十三条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场监督管理部门在监督检查中，发现违反特种设备安全法律法规和安全技术规范的行为或者特种设备存在事故隐患的，应当依法发出特种设备安全监察指令，或者交由属地市场监督管理部门依法发出特种设备安全监察指令，责令被检查单位限期采取措施予以改正或者消除事故隐患。</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市场监督管理部门发现重大违法行为或者特种设备存在严重事故隐患的，应当责令被检查单位立即停止违法行为、采取措施消除事故隐患。</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第二十四条</w:t>
      </w:r>
      <w:r>
        <w:rPr>
          <w:rFonts w:hint="eastAsia" w:ascii="Times New Roman" w:hAnsi="Times New Roman" w:eastAsia="黑体" w:cs="仿宋_GB2312"/>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本办法所称重大违法行为包括以下情形：</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（一）未经许可，擅自从事特种设备生产、电梯维护保养、移动式压力容器充装或者气瓶充装活动的；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（二）未经核准，擅自从事特种设备检验、检测的；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（三）特种设备生产单位生产、销售、交付国家明令淘汰的特种设备，或者涂改、倒卖、出租、出借生产许可证的；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（四）特种设备经营单位销售、出租未取得许可生产、未经检验或者检验不合格、国家明令淘汰、已经报废的特种设备的；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（五）谎报或者瞒报特种设备事故的；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（六）检验、检测机构和人员出具虚假或者严重失实的检验、检测结果和鉴定结论的；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（七）被检查单位对严重事故隐患不予整改或者消除的；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（八）法律、行政法规和部门规章规定的其他重大违法行为。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第二十五条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特种设备存在严重事故隐患包括以下情形：</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（一）特种设备未取得许可生产、国家明令淘汰、已经报废或者达到报废条件，继续使用的；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（二）特种设备未经监督检验或者经检验、检测不合格，继续使用的；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（三）特种设备安全附件、安全保护装置缺失或者失灵，继续使用的；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（四）特种设备发生过事故或者有明显故障，未对其进行全面检查、消除事故隐患，继续使用的；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（五）特种设备超过规定参数、使用范围使用的；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（六）市场监督管理部门认为属于严重事故隐患的其他情形。</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第二十六条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市场监督管理部门在监督检查中，对有证据表明不符合安全技术规范要求、存在严重事故隐患、流入市场的达到报废条件或者已经报废的特种设备，应当依法实施查封、扣押。</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当场能够整改的，可以不予查封、扣押。</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第二十七条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监督检查中，被检查单位的有关负责人拒绝在特种设备安全监督检查记录或者相关文书上签字或者以其他方式确认的，检查人员应当在记录或者文书上注明情况，并采取拍照、录音、录像等方式记录，必要时可以邀请有关人员作为见证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被检查单位拒绝签收特种设备安全监察指令的，按照市场监督管理送达行政执法文书的有关规定执行，情节严重的，按照拒不执行特种设备安全监察指令予以处理。</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第二十八条</w:t>
      </w:r>
      <w:r>
        <w:rPr>
          <w:rFonts w:hint="eastAsia" w:ascii="Times New Roman" w:hAnsi="Times New Roman" w:eastAsia="黑体" w:cs="仿宋_GB2312"/>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被检查单位停产、停业或者确有其他无法实施监督检查情形的，检查人员可以终止监督检查，并记录相关情况。</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第二十九条</w:t>
      </w:r>
      <w:r>
        <w:rPr>
          <w:rFonts w:hint="eastAsia" w:ascii="Times New Roman" w:hAnsi="Times New Roman" w:eastAsia="黑体" w:cs="仿宋_GB2312"/>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被检查单位应当根据特种设备安全监察指令，在规定时间内予以改正，消除事故隐患，并提交整改报告。</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市场监督管理部门应当在被检查单位提交整改报告后十个工作日内，对整改情况进行复查。复查可以通过现场检查、材料核查等方式实施。</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采用现场检查进行复查的，复查程序适用本办法。</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第三十条</w:t>
      </w:r>
      <w:r>
        <w:rPr>
          <w:rFonts w:hint="eastAsia" w:ascii="Times New Roman" w:hAnsi="Times New Roman" w:eastAsia="黑体" w:cs="黑体"/>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发现重大违法行为或者严重事故隐患的，实施检查的市场监督管理部门应当及时报告上一级市场监督管理部门。</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市场监督管理部门接到报告后，应当采取必要措施，及时予以处理。</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第三十一条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监督检查中对拒绝接受检查、重大违法行为和严重事故隐患的处理，需要属地人民政府和有关部门支持、配合的，市场监督管理部门应当及时以书面形式报告属地人民政府或者通报有关部门，并提出相关安全监管建议。</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接到报告或者通报的人民政府和其他有关部门依法采取必要措施及时处理时，市场监督管理部门应当积极予以配合。</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第三十二条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特种设备安全行政处罚由违法行为发生地的县级以上市场监督管理部门实施。</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违法行为发生地的县级以上市场监督管理部门依法吊销特种设备检验、检测人员及安全管理和作业人员行政许可的，应当将行政处罚决定抄送发证机关，由发证机关办理注销手续。</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违法行为发生地的县级以上市场监督管理部门案件办理过程中，发现依法应当吊销特种设备生产、充装单位和特种设备检验、检测机构行政许可的，应当在作出相关行政处罚决定后，将涉及吊销许可证的违法行为证据材料移送发证机关，由发证机关依法予以吊销。</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发现依法应当撤销许可的违法行为的，实施监督检查的市场监督管理部门应当及时向发证机关通报，并随附相关证据材料，由发证机关依法予以撤销。</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lang w:eastAsia="zh-CN"/>
        </w:rPr>
      </w:pPr>
      <w:r>
        <w:rPr>
          <w:rFonts w:hint="eastAsia" w:ascii="Times New Roman" w:hAnsi="Times New Roman" w:eastAsia="仿宋_GB2312" w:cs="仿宋_GB2312"/>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jc w:val="center"/>
        <w:textAlignment w:val="auto"/>
        <w:rPr>
          <w:rFonts w:hint="eastAsia" w:ascii="Times New Roman" w:hAnsi="Times New Roman" w:eastAsia="黑体" w:cs="黑体"/>
          <w:color w:val="auto"/>
          <w:kern w:val="0"/>
          <w:sz w:val="32"/>
          <w:szCs w:val="32"/>
        </w:rPr>
      </w:pPr>
      <w:r>
        <w:rPr>
          <w:rFonts w:hint="eastAsia" w:ascii="Times New Roman" w:hAnsi="Times New Roman" w:eastAsia="黑体" w:cs="黑体"/>
          <w:color w:val="auto"/>
          <w:kern w:val="0"/>
          <w:sz w:val="32"/>
          <w:szCs w:val="32"/>
        </w:rPr>
        <w:t>第四章</w:t>
      </w:r>
      <w:r>
        <w:rPr>
          <w:rFonts w:hint="eastAsia" w:ascii="Times New Roman" w:hAnsi="Times New Roman" w:eastAsia="黑体" w:cs="黑体"/>
          <w:color w:val="auto"/>
          <w:kern w:val="0"/>
          <w:sz w:val="32"/>
          <w:szCs w:val="32"/>
          <w:lang w:eastAsia="zh-CN"/>
        </w:rPr>
        <w:t xml:space="preserve">  </w:t>
      </w:r>
      <w:r>
        <w:rPr>
          <w:rFonts w:hint="eastAsia" w:ascii="Times New Roman" w:hAnsi="Times New Roman" w:eastAsia="黑体" w:cs="黑体"/>
          <w:color w:val="auto"/>
          <w:kern w:val="0"/>
          <w:sz w:val="32"/>
          <w:szCs w:val="32"/>
        </w:rPr>
        <w:t>法律责任</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textAlignment w:val="auto"/>
        <w:rPr>
          <w:rFonts w:hint="eastAsia" w:ascii="Times New Roman" w:hAnsi="Times New Roman" w:eastAsia="仿宋_GB2312" w:cs="仿宋_GB2312"/>
          <w:color w:val="auto"/>
          <w:kern w:val="0"/>
          <w:sz w:val="32"/>
          <w:szCs w:val="32"/>
          <w:lang w:eastAsia="zh-CN"/>
        </w:rPr>
      </w:pPr>
      <w:r>
        <w:rPr>
          <w:rFonts w:hint="eastAsia" w:ascii="Times New Roman" w:hAnsi="Times New Roman" w:eastAsia="仿宋_GB2312" w:cs="仿宋_GB2312"/>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第三十三条</w:t>
      </w:r>
      <w:r>
        <w:rPr>
          <w:rFonts w:hint="eastAsia" w:ascii="Times New Roman" w:hAnsi="Times New Roman" w:eastAsia="黑体" w:cs="仿宋_GB2312"/>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违反本办法的规定，特种设备有关法律法规已有法律责任规定的，依照相关规定处理；有关法律法规以及本办法其他条款没有规定法律责任的，责令限期改正；涉嫌构成犯罪，依法需要追究刑事责任的，按照有关规定移送公安机关、监察机关。</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第三十四条</w:t>
      </w:r>
      <w:r>
        <w:rPr>
          <w:rFonts w:hint="eastAsia" w:ascii="Times New Roman" w:hAnsi="Times New Roman" w:eastAsia="黑体" w:cs="仿宋_GB2312"/>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被检查单位无正当理由拒绝检查人员进入特种设备生产、经营、使用、检验、检测场所检查，不予配合或者拖延、阻碍监督检查正常开展的，按照《中华人民共和国特种设备安全法》</w:t>
      </w:r>
      <w:r>
        <w:rPr>
          <w:rFonts w:hint="eastAsia" w:ascii="Times New Roman" w:hAnsi="Times New Roman" w:eastAsia="仿宋_GB2312" w:cs="仿宋_GB2312"/>
          <w:color w:val="auto"/>
          <w:kern w:val="0"/>
          <w:sz w:val="32"/>
          <w:szCs w:val="32"/>
          <w:lang w:eastAsia="zh-CN"/>
        </w:rPr>
        <w:t>第九十五条</w:t>
      </w:r>
      <w:r>
        <w:rPr>
          <w:rFonts w:hint="eastAsia" w:ascii="Times New Roman" w:hAnsi="Times New Roman" w:eastAsia="仿宋_GB2312" w:cs="仿宋_GB2312"/>
          <w:color w:val="auto"/>
          <w:kern w:val="0"/>
          <w:sz w:val="32"/>
          <w:szCs w:val="32"/>
        </w:rPr>
        <w:t>规定予以处理。构成违反治安管理行为的，移送公安机关，由公安机关依法给予治安管理处罚。</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第三十五条</w:t>
      </w:r>
      <w:r>
        <w:rPr>
          <w:rFonts w:hint="eastAsia" w:ascii="Times New Roman" w:hAnsi="Times New Roman" w:eastAsia="黑体" w:cs="仿宋_GB2312"/>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被检查单位未按要求进行自查自纠的，责令限期改正；逾期未改正的，处五千元以上三万元以下罚款。</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被检查单位在检查中隐匿证据、提供虚假材料或者未在通知的期限内提供有关材料的，责令限期改正；逾期未改正的，处一万元以上十万元以下罚款。</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第三十六条</w:t>
      </w:r>
      <w:r>
        <w:rPr>
          <w:rFonts w:hint="eastAsia" w:ascii="Times New Roman" w:hAnsi="Times New Roman" w:eastAsia="黑体" w:cs="仿宋_GB2312"/>
          <w:color w:val="auto"/>
          <w:kern w:val="0"/>
          <w:sz w:val="32"/>
          <w:szCs w:val="32"/>
          <w:lang w:val="en-US" w:eastAsia="zh-CN"/>
        </w:rPr>
        <w:t xml:space="preserve">  </w:t>
      </w:r>
      <w:r>
        <w:rPr>
          <w:rFonts w:hint="eastAsia" w:ascii="Times New Roman" w:hAnsi="Times New Roman" w:eastAsia="仿宋_GB2312" w:cs="仿宋_GB2312"/>
          <w:color w:val="auto"/>
          <w:kern w:val="0"/>
          <w:sz w:val="32"/>
          <w:szCs w:val="32"/>
        </w:rPr>
        <w:t>特种设备生产、经营、使用单位和检验、检测机构违反本办法</w:t>
      </w:r>
      <w:r>
        <w:rPr>
          <w:rFonts w:hint="eastAsia" w:ascii="Times New Roman" w:hAnsi="Times New Roman" w:eastAsia="仿宋_GB2312" w:cs="仿宋_GB2312"/>
          <w:color w:val="auto"/>
          <w:kern w:val="0"/>
          <w:sz w:val="32"/>
          <w:szCs w:val="32"/>
          <w:lang w:eastAsia="zh-CN"/>
        </w:rPr>
        <w:t>第二十九条</w:t>
      </w:r>
      <w:r>
        <w:rPr>
          <w:rFonts w:hint="eastAsia" w:ascii="Times New Roman" w:hAnsi="Times New Roman" w:eastAsia="仿宋_GB2312" w:cs="仿宋_GB2312"/>
          <w:color w:val="auto"/>
          <w:kern w:val="0"/>
          <w:sz w:val="32"/>
          <w:szCs w:val="32"/>
        </w:rPr>
        <w:t>第一款，拒不执行特种设备安全监察指令的，处五千元以上十万元以下罚款；情节严重的，处十万元以上二十万元以下罚款。</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第三十七条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特种设备安全监督检查人员在监督检查中未依法履行职责，需要承担行政执法过错责任的，按照有关法律法规及《市场监督管理行政执法责任制规定》的有关规定执行。</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市场监督管理部门及其工作人员在特种设备安全监督检查中涉嫌违纪违法的，移送纪检监察机关依法给予党纪政务处分；涉嫌犯罪的，移送监察机关、司法机关依法处理。</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lang w:eastAsia="zh-CN"/>
        </w:rPr>
      </w:pPr>
      <w:r>
        <w:rPr>
          <w:rFonts w:hint="eastAsia" w:ascii="Times New Roman" w:hAnsi="Times New Roman" w:eastAsia="仿宋_GB2312" w:cs="仿宋_GB2312"/>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jc w:val="center"/>
        <w:textAlignment w:val="auto"/>
        <w:rPr>
          <w:rFonts w:hint="eastAsia" w:ascii="Times New Roman" w:hAnsi="Times New Roman" w:eastAsia="黑体" w:cs="黑体"/>
          <w:color w:val="auto"/>
          <w:kern w:val="0"/>
          <w:sz w:val="32"/>
          <w:szCs w:val="32"/>
        </w:rPr>
      </w:pPr>
      <w:r>
        <w:rPr>
          <w:rFonts w:hint="eastAsia" w:ascii="Times New Roman" w:hAnsi="Times New Roman" w:eastAsia="黑体" w:cs="黑体"/>
          <w:color w:val="auto"/>
          <w:kern w:val="0"/>
          <w:sz w:val="32"/>
          <w:szCs w:val="32"/>
        </w:rPr>
        <w:t>第五章</w:t>
      </w:r>
      <w:r>
        <w:rPr>
          <w:rFonts w:hint="eastAsia" w:ascii="Times New Roman" w:hAnsi="Times New Roman" w:eastAsia="黑体" w:cs="黑体"/>
          <w:color w:val="auto"/>
          <w:kern w:val="0"/>
          <w:sz w:val="32"/>
          <w:szCs w:val="32"/>
          <w:lang w:val="en-US" w:eastAsia="zh-CN"/>
        </w:rPr>
        <w:t xml:space="preserve">  </w:t>
      </w:r>
      <w:r>
        <w:rPr>
          <w:rFonts w:hint="eastAsia" w:ascii="Times New Roman" w:hAnsi="Times New Roman" w:eastAsia="黑体" w:cs="黑体"/>
          <w:color w:val="auto"/>
          <w:kern w:val="0"/>
          <w:sz w:val="32"/>
          <w:szCs w:val="32"/>
        </w:rPr>
        <w:t>附</w:t>
      </w:r>
      <w:r>
        <w:rPr>
          <w:rFonts w:hint="eastAsia" w:ascii="Times New Roman" w:hAnsi="Times New Roman" w:eastAsia="黑体" w:cs="黑体"/>
          <w:color w:val="auto"/>
          <w:kern w:val="0"/>
          <w:sz w:val="32"/>
          <w:szCs w:val="32"/>
          <w:lang w:val="en-US" w:eastAsia="zh-CN"/>
        </w:rPr>
        <w:t xml:space="preserve">    </w:t>
      </w:r>
      <w:r>
        <w:rPr>
          <w:rFonts w:hint="eastAsia" w:ascii="Times New Roman" w:hAnsi="Times New Roman" w:eastAsia="黑体" w:cs="黑体"/>
          <w:color w:val="auto"/>
          <w:kern w:val="0"/>
          <w:sz w:val="32"/>
          <w:szCs w:val="32"/>
        </w:rPr>
        <w:t>则</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textAlignment w:val="auto"/>
        <w:rPr>
          <w:rFonts w:hint="eastAsia" w:ascii="Times New Roman" w:hAnsi="Times New Roman" w:eastAsia="仿宋_GB2312" w:cs="仿宋_GB2312"/>
          <w:color w:val="auto"/>
          <w:kern w:val="0"/>
          <w:sz w:val="32"/>
          <w:szCs w:val="32"/>
          <w:lang w:eastAsia="zh-CN"/>
        </w:rPr>
      </w:pPr>
      <w:r>
        <w:rPr>
          <w:rFonts w:hint="eastAsia" w:ascii="Times New Roman" w:hAnsi="Times New Roman" w:eastAsia="仿宋_GB2312" w:cs="仿宋_GB2312"/>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00"/>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第三十八条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特种设备安全监督检查人员履职所需装备按照市场监督管理基层执法装备配备的有关要求执行。</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eastAsia="仿宋_GB2312" w:cs="仿宋_GB2312"/>
          <w:color w:val="auto"/>
          <w:kern w:val="0"/>
          <w:sz w:val="32"/>
          <w:szCs w:val="32"/>
        </w:rPr>
      </w:pPr>
      <w:r>
        <w:rPr>
          <w:rFonts w:hint="eastAsia" w:ascii="Times New Roman" w:hAnsi="Times New Roman" w:eastAsia="黑体" w:cs="仿宋_GB2312"/>
          <w:color w:val="auto"/>
          <w:kern w:val="0"/>
          <w:sz w:val="32"/>
          <w:szCs w:val="32"/>
          <w:lang w:eastAsia="zh-CN"/>
        </w:rPr>
        <w:t>第三十九条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特种设备安全监督检查文书格式由国家市场监督管理总局制定。</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5"/>
        <w:textAlignment w:val="auto"/>
        <w:rPr>
          <w:rFonts w:hint="eastAsia" w:ascii="Times New Roman" w:hAnsi="Times New Roman"/>
          <w:color w:val="auto"/>
        </w:rPr>
      </w:pPr>
      <w:r>
        <w:rPr>
          <w:rFonts w:hint="eastAsia" w:ascii="Times New Roman" w:hAnsi="Times New Roman" w:eastAsia="黑体" w:cs="黑体"/>
          <w:color w:val="auto"/>
          <w:kern w:val="0"/>
          <w:sz w:val="32"/>
          <w:szCs w:val="32"/>
        </w:rPr>
        <w:t>第四十条</w:t>
      </w:r>
      <w:r>
        <w:rPr>
          <w:rFonts w:hint="eastAsia" w:ascii="Times New Roman" w:hAnsi="Times New Roman" w:eastAsia="仿宋_GB2312" w:cs="仿宋_GB2312"/>
          <w:color w:val="auto"/>
          <w:kern w:val="0"/>
          <w:sz w:val="32"/>
          <w:szCs w:val="32"/>
          <w:lang w:eastAsia="zh-CN"/>
        </w:rPr>
        <w:t xml:space="preserve">  </w:t>
      </w:r>
      <w:r>
        <w:rPr>
          <w:rFonts w:hint="eastAsia" w:ascii="Times New Roman" w:hAnsi="Times New Roman" w:eastAsia="仿宋_GB2312" w:cs="仿宋_GB2312"/>
          <w:color w:val="auto"/>
          <w:kern w:val="0"/>
          <w:sz w:val="32"/>
          <w:szCs w:val="32"/>
        </w:rPr>
        <w:t>本办法自2022年7月1日起施行。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49C12DE"/>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250654"/>
    <w:rsid w:val="64874BF3"/>
    <w:rsid w:val="665233C1"/>
    <w:rsid w:val="6AD9688B"/>
    <w:rsid w:val="6D0E3F22"/>
    <w:rsid w:val="6F7271A8"/>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4908</Words>
  <Characters>4916</Characters>
  <Lines>63</Lines>
  <Paragraphs>17</Paragraphs>
  <TotalTime>1</TotalTime>
  <ScaleCrop>false</ScaleCrop>
  <LinksUpToDate>false</LinksUpToDate>
  <CharactersWithSpaces>5023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2022-09-17T15:55:12Z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