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</w:rPr>
        <w:t>禁止非法生产销售使用窃听窃照专用器材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</w:rPr>
        <w:t>和“伪基站”设备的规定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ind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lang w:eastAsia="zh-CN"/>
        </w:rPr>
      </w:pPr>
      <w:bookmarkStart w:id="0" w:name="_GoBack"/>
      <w:r>
        <w:rPr>
          <w:rFonts w:hint="eastAsia" w:ascii="Times New Roman" w:hAnsi="Times New Roman" w:eastAsia="楷体_GB2312" w:cs="楷体_GB2312"/>
          <w:b w:val="0"/>
          <w:bCs w:val="0"/>
          <w:color w:val="auto"/>
          <w:sz w:val="32"/>
          <w:szCs w:val="32"/>
          <w:lang w:eastAsia="zh-CN"/>
        </w:rPr>
        <w:t>（2014年12月23日国家工商行政管理总局、公安部、国家质量监督检验检疫总局令第72号公布）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ind w:firstLine="640" w:firstLineChars="200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第一条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为制止和打击非法生产、销售、使用窃听窃照专用器材和“伪基站”设备的违法犯罪行为，维护国家安全、公共安全和社会秩序，保障公民人身财产安全，制定本规定。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第二条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禁止自然人、法人及其他组织非法生产、销售、使用窃听窃照专用器材和“伪基站”设备。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第三条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本规定所称窃听专用器材，是指以伪装或者隐蔽方式使用，经公安机关依法进行技术检测后作出认定性结论，有以下情形之一的：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（一）具有无线发射、接收语音信号功能的发射、接收器材；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（二）微型语音信号拾取或者录制设备；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（三）能够获取无线通信信息的电子接收器材；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（四）利用搭接、感应等方式获取通讯线路信息的器材；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（五）利用固体传声、光纤、微波、激光、红外线等技术获取语音信息的器材；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（六）可遥控语音接收器件或者电子设备中的语音接收功能，获取相关语音信息，且无明显提示的器材（含软件）；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（七）其他具有窃听功能的器材。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第四条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本规定所称窃照专用器材，是指以伪装或者隐蔽方式使用，经公安机关依法进行技术检测后作出认定性结论，有以下情形之一的：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（一）具有无线发射功能的照相、摄像器材；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（二）微型针孔式摄像装置以及使用微型针孔式摄像装置的照相、摄像器材；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（三）取消正常取景器和回放显示器的微小相机和摄像机；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（四）利用搭接、感应等方式获取图像信息的器材；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（五）可遥控照相、摄像器件或者电子设备中的照相、摄像功能，获取相关图像信息，且无明显提示的器材（含软件）；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（六）其他具有窃照功能的器材。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第五条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本规定所称“伪基站”设备，是指未取得电信设备进网许可和无线电发射设备型号核准，具有搜取手机用户信息，强行向不特定用户手机发送短信息等功能，使用过程中会非法占用公众移动通信频率，局部阻断公众移动通信网络信号，经公安机关依法认定的非法无线电通信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第六条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公安机关、工商行政管理部门和质量技术监督部门按照职责分工，依法查处非法生产、销售、使用窃听窃照专用器材和“伪基站”设备行为。其他有关部门依法查处与非法生产、销售、使用窃听窃照专用器材和“伪基站”设备有关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法律、法规对查处非法生产、销售、使用窃听窃照专用器材和“伪基站”设备另有规定的，依照其规定。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第七条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公安机关负责对窃听窃照专用器材、“伪基站”设备的认定工作。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质量技术监督部门、工商行政管理部门在执法检查中，发现涉嫌非法生产、销售窃听窃照专用器材、“伪基站”设备的，应当及时将有关器材、设备送当地公安机关认定，公安机关应当在7日内出具认定结论。工商行政管理部门、质量技术监督部门应当依据公安机关出具的认定结论，对不构成犯罪的非法生产、销售窃听窃照专用器材和“伪基站”设备行为以及为非法销售窃听窃照专用器材和“伪基站”设备提供广告设计制作、代理、发布的行为依法予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第八条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非法生产窃听窃照专用器材、“伪基站”设备，不构成犯罪的，由质量技术监督部门责令停止生产，处以3万元以下罚款。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第九条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非法销售窃听窃照专用器材、“伪基站”设备，不构成犯罪的，由工商行政管理部门责令停止销售，处以3万元以下罚款。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为非法销售窃听窃照专用器材、“伪基站”设备提供广告设计、制作、代理、发布，不构成犯罪的，由工商行政管理部门对广告经营者、广告发布者处以3万元以下罚款。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第十一条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对非法使用窃听窃照专用器材、“伪基站”设备行为，不构成犯罪的，由公安机关责令停止使用。对从事非经营活动的，处1000元以下罚款。对从事经营活动，有违法所得的，处违法所得3倍以下罚款，最高不得超过3万元；没有违法所得的，处1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第十二条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有关部门对非法销售窃听窃照专用器材、“伪基站”设备和发布相关违法广告作出行政处罚或者追究刑事责任后，可以提请通信监管部门对相关网站及时依法查处。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第十三条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质量技术监督部门、工商行政管理部门对两年内因非法生产、销售窃听窃照专用器材、“伪基站”设备受过两次以上行政处罚，又涉嫌非法生产、销售的，直接移送公安机关。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第十四条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公安机关、工商行政管理部门和质量技术监督部门查处案件过程中，需要征求有关部门意见的，应当征求有关部门意见；对发现不属于本部门职能的案件线索，应当及时向有关部门通报。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第十五条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在查处涉嫌非法生产、销售、使用窃听窃照专用器材和“伪基站”设备的违法犯罪行为时，对以暴力、威胁等方法阻碍国家机关工作人员执行公务的，由公安机关依法予以查处；构成犯罪的，依法追究刑事责任。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第十六条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公安机关、工商行政管理和质量技术监督等部门的工作人员，在查处案件过程中滥用职权、玩忽职守、徇私舞弊的，依法依纪追究责任；构成犯罪的，依法追究刑事责任。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第十七条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本规定由国家工商行政管理总局、公安部、国家质量监督检验检疫总局负责解释。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textAlignment w:val="auto"/>
        <w:rPr>
          <w:rFonts w:ascii="Times New Roman" w:hAnsi="Times New Roman"/>
          <w:color w:val="auto"/>
        </w:rPr>
      </w:pP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　</w:t>
      </w:r>
      <w:r>
        <w:rPr>
          <w:rFonts w:hint="eastAsia" w:ascii="Times New Roman" w:hAnsi="Times New Roman" w:eastAsia="黑体" w:cs="仿宋_GB2312"/>
          <w:b w:val="0"/>
          <w:bCs w:val="0"/>
          <w:color w:val="auto"/>
          <w:sz w:val="32"/>
          <w:szCs w:val="32"/>
          <w:lang w:eastAsia="zh-CN"/>
        </w:rPr>
        <w:t>第十八条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</w:rPr>
        <w:t>　本规定自公布之日起30日后施行。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35A5AF4"/>
    <w:rsid w:val="04B679C3"/>
    <w:rsid w:val="080F63D8"/>
    <w:rsid w:val="09341458"/>
    <w:rsid w:val="0B0912D7"/>
    <w:rsid w:val="152D2DCA"/>
    <w:rsid w:val="1DEC284C"/>
    <w:rsid w:val="1E6523AC"/>
    <w:rsid w:val="1F361A96"/>
    <w:rsid w:val="22440422"/>
    <w:rsid w:val="236E69A3"/>
    <w:rsid w:val="25117842"/>
    <w:rsid w:val="27FA06B1"/>
    <w:rsid w:val="31A15F24"/>
    <w:rsid w:val="33AB32FB"/>
    <w:rsid w:val="350A7756"/>
    <w:rsid w:val="395347B5"/>
    <w:rsid w:val="39A232A0"/>
    <w:rsid w:val="39E745AA"/>
    <w:rsid w:val="3ADC67D8"/>
    <w:rsid w:val="3B5A6BBB"/>
    <w:rsid w:val="3D41110E"/>
    <w:rsid w:val="3EDA13A6"/>
    <w:rsid w:val="42F058B7"/>
    <w:rsid w:val="436109F6"/>
    <w:rsid w:val="441A38D4"/>
    <w:rsid w:val="45D821B3"/>
    <w:rsid w:val="49D91622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874BF3"/>
    <w:rsid w:val="665233C1"/>
    <w:rsid w:val="6AD9688B"/>
    <w:rsid w:val="6D0E3F22"/>
    <w:rsid w:val="72CD1B96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1978</Words>
  <Characters>1988</Characters>
  <Lines>63</Lines>
  <Paragraphs>17</Paragraphs>
  <TotalTime>1</TotalTime>
  <ScaleCrop>false</ScaleCrop>
  <LinksUpToDate>false</LinksUpToDate>
  <CharactersWithSpaces>2070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2022-09-17T16:04:03Z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