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药品、医疗器械、保健食品、特殊医学用途</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r>
        <w:rPr>
          <w:rStyle w:val="9"/>
          <w:rFonts w:hint="eastAsia" w:ascii="Times New Roman" w:hAnsi="Times New Roman" w:eastAsia="方正小标宋简体"/>
          <w:b w:val="0"/>
          <w:bCs w:val="0"/>
          <w:color w:val="auto"/>
          <w:sz w:val="44"/>
          <w:szCs w:val="44"/>
        </w:rPr>
        <w:t>配方食品广告审查管理暂行办法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b w:val="0"/>
          <w:bCs w:val="0"/>
          <w:color w:val="auto"/>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eastAsia" w:ascii="Times New Roman" w:hAnsi="Times New Roman" w:eastAsia="楷体_GB2312"/>
          <w:b w:val="0"/>
          <w:bCs w:val="0"/>
          <w:color w:val="auto"/>
          <w:sz w:val="32"/>
          <w:szCs w:val="32"/>
        </w:rPr>
      </w:pPr>
      <w:r>
        <w:rPr>
          <w:rFonts w:hint="eastAsia" w:ascii="Times New Roman" w:hAnsi="Times New Roman" w:eastAsia="楷体_GB2312"/>
          <w:b w:val="0"/>
          <w:bCs w:val="0"/>
          <w:color w:val="auto"/>
          <w:sz w:val="32"/>
          <w:szCs w:val="32"/>
        </w:rPr>
        <w:t>（2019年12月24日国家市场监督管理总局令第21号公布）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textAlignment w:val="auto"/>
        <w:rPr>
          <w:rFonts w:hint="eastAsia" w:ascii="Times New Roman" w:hAnsi="Times New Roman" w:eastAsia="楷体_GB2312"/>
          <w:b w:val="0"/>
          <w:bCs w:val="0"/>
          <w:color w:val="auto"/>
          <w:sz w:val="32"/>
          <w:szCs w:val="32"/>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　第一条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为加强药品、医疗器械、保健食品和特殊医学用途配方食品广告监督管理，规范广告审查工作，维护广告市场秩序，保护消费者合法权益，根据《中华人民共和国广告法》等法律、行政法规，制定本办法。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第二条</w:t>
      </w:r>
      <w:r>
        <w:rPr>
          <w:rFonts w:hint="eastAsia" w:ascii="Times New Roman" w:hAnsi="Times New Roman" w:eastAsia="黑体"/>
          <w:b w:val="0"/>
          <w:bCs w:val="0"/>
          <w:color w:val="auto"/>
          <w:sz w:val="32"/>
          <w:szCs w:val="32"/>
          <w:lang w:val="en-US" w:eastAsia="zh-CN"/>
        </w:rPr>
        <w:t xml:space="preserve">  </w:t>
      </w:r>
      <w:r>
        <w:rPr>
          <w:rFonts w:hint="eastAsia" w:ascii="Times New Roman" w:hAnsi="Times New Roman" w:eastAsia="仿宋_GB2312"/>
          <w:b w:val="0"/>
          <w:bCs w:val="0"/>
          <w:color w:val="auto"/>
          <w:sz w:val="32"/>
          <w:szCs w:val="32"/>
        </w:rPr>
        <w:t>药品、医疗器械、保健食品和特殊医学用途配方食品广告的审查适用本办法。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未经审查不得发布药品、医疗器械、保健食品和特殊医学用途配方食品广告。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药品、医疗器械、保健食品和特殊医学用途配方食品广告应当真实、合法，不得含有虚假或者引人误解的内容。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广告主应当对药品、医疗器械、保健食品和特殊医学用途配方食品广告内容的真实性和合法性负责。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国家市场监督管理总局负责组织指导药品、医疗器械、保健食品和特殊医学用途配方食品广告审查工作。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各省、自治区、直辖市市场监督管理部门、药品监督管理部门（以下称广告审查机关）负责药品、医疗器械、保健食品和特殊医学用途配方食品广告审查，依法可以委托其他行政机关具体实施广告审查。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药品广告的内容应当以国务院药品监督管理部门核准的说明书为准。药品广告涉及药品名称、药品适应症或者功能主治、药理作用等内容的，不得超出说明书范围。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药品广告应当显著标明禁忌、不良反应，处方药广告还应当显著标明“本广告仅供医学药学专业人士阅读”，非处方药广告还应当显著标明非处方药标识（OTC）和“请按药品说明书或者在药师指导下购买和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第六条</w:t>
      </w:r>
      <w:r>
        <w:rPr>
          <w:rFonts w:hint="eastAsia" w:ascii="Times New Roman" w:hAnsi="Times New Roman" w:eastAsia="黑体"/>
          <w:b w:val="0"/>
          <w:bCs w:val="0"/>
          <w:color w:val="auto"/>
          <w:sz w:val="32"/>
          <w:szCs w:val="32"/>
          <w:lang w:eastAsia="zh-CN"/>
        </w:rPr>
        <w:t xml:space="preserve">  </w:t>
      </w:r>
      <w:r>
        <w:rPr>
          <w:rFonts w:hint="eastAsia" w:ascii="Times New Roman" w:hAnsi="Times New Roman" w:eastAsia="仿宋_GB2312"/>
          <w:b w:val="0"/>
          <w:bCs w:val="0"/>
          <w:color w:val="auto"/>
          <w:sz w:val="32"/>
          <w:szCs w:val="32"/>
        </w:rPr>
        <w:t>医疗器械广告的内容应当以药品监督管理部门批准的注册证书或者备案凭证、注册或者备案的产品说明书内容为准。医疗器械广告涉及医疗器械名称、适用范围、作用机理或者结构及组成等内容的，不得超出注册证书或者备案凭证、注册或者备案的产品说明书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推荐给个人自用的医疗器械的广告，应当显著标明“请仔细阅读产品说明书或者在医务人员的指导下购买和使用”。医疗器械产品注册证书中有禁忌内容、注意事项的，广告应当显著标明“禁忌内容或者注意事项详见说明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保健食品广告的内容应当以市场监督管理部门批准的注册证书或者备案凭证、注册或者备案的产品说明书内容为准，不得涉及疾病预防、治疗功能。保健食品广告涉及保健功能、产品功效成分或者标志性成分及含量、适宜人群或者食用量等内容的，不得超出注册证书或者备案凭证、注册或者备案的产品说明书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保健食品广告应当显著标明“保健食品不是药物，不能代替药物治疗疾病”，声明本品不能代替药物，并显著标明保健食品标志、适宜人群和不适宜人群。</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特殊医学用途配方食品广告的内容应当以国家市场监督管理总局批准的注册证书和产品标签、说明书为准。特殊医学用途配方食品广告涉及产品名称、配方、营养学特征、适用人群等内容的，不得超出注册证书、产品标签、说明书范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特殊医学用途配方食品广告应当显著标明适用人群、“不适用于非目标人群使用”“请在医生或者临床营养师指导下使用”。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药品、医疗器械、保健食品和特殊医学用途配方食品广告应当显著标明广告批准文号。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药品、医疗器械、保健食品和特殊医学用途配方食品广告中应当显著标明的内容，其字体和颜色必须清晰可见、易于辨认，在视频广告中应当持续显示。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药品、医疗器械、保健食品和特殊医学用途配方食品广告不得违反</w:t>
      </w:r>
      <w:r>
        <w:rPr>
          <w:rFonts w:hint="eastAsia" w:ascii="Times New Roman" w:hAnsi="Times New Roman" w:eastAsia="仿宋_GB2312"/>
          <w:b w:val="0"/>
          <w:bCs w:val="0"/>
          <w:color w:val="auto"/>
          <w:sz w:val="32"/>
          <w:szCs w:val="32"/>
          <w:lang w:eastAsia="zh-CN"/>
        </w:rPr>
        <w:t>《</w:t>
      </w:r>
      <w:r>
        <w:rPr>
          <w:rFonts w:hint="eastAsia" w:ascii="Times New Roman" w:hAnsi="Times New Roman" w:eastAsia="仿宋_GB2312"/>
          <w:b w:val="0"/>
          <w:bCs w:val="0"/>
          <w:color w:val="auto"/>
          <w:sz w:val="32"/>
          <w:szCs w:val="32"/>
        </w:rPr>
        <w:t>中华人民共和国广告法</w:t>
      </w:r>
      <w:r>
        <w:rPr>
          <w:rFonts w:hint="eastAsia" w:ascii="Times New Roman" w:hAnsi="Times New Roman" w:eastAsia="仿宋_GB2312"/>
          <w:b w:val="0"/>
          <w:bCs w:val="0"/>
          <w:color w:val="auto"/>
          <w:sz w:val="32"/>
          <w:szCs w:val="32"/>
          <w:lang w:eastAsia="zh-CN"/>
        </w:rPr>
        <w:t>》</w:t>
      </w:r>
      <w:r>
        <w:rPr>
          <w:rFonts w:hint="eastAsia" w:ascii="Times New Roman" w:hAnsi="Times New Roman" w:eastAsia="仿宋_GB2312"/>
          <w:b w:val="0"/>
          <w:bCs w:val="0"/>
          <w:color w:val="auto"/>
          <w:sz w:val="32"/>
          <w:szCs w:val="32"/>
        </w:rPr>
        <w:t>第九条、第十六条、第十七条、第十八条、第十九条规定，不得包含下列情形：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（一）使用或者变相使用国家机关、国家机关工作人员、军队单位或者军队人员的名义或者形象，或者利用军队装备、设施等从事广告宣传；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（二）使用科研单位、学术机构、行业协会或者专家、学者、医师、药师、临床营养师、患者等的名义或者形象作推荐、证明；</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（三）违反科学规律，明示或者暗示可以治疗所有疾病、适应所有症状、适应所有人群，或者正常生活和治疗病症所必需等内容；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（四）引起公众对所处健康状况和所患疾病产生不必要的担忧和恐惧，或者使公众误解不使用该产品会患某种疾病或者加重病情的内容；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（五）含有“安全”“安全无毒副作用”“毒副作用小”；明示或者暗示成分为“天然”，因而安全性有保证等内容；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六）含有“热销、抢购、试用”“家庭必备、免费治疗、免费赠送”等诱导性内容，“评比、排序、推荐、指定、选用、获奖”等综合性评价内容，“无效退款、保险公司保险”等保证性内容，怂恿消费者任意、过量使用药品、保健食品和特殊医学用途配方食品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（七）含有医疗机构的名称、地址、联系方式、诊疗项目、诊疗方法以及有关义诊、医疗咨询电话、开设特约门诊等医疗服务的内容;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（八）法律、行政法规规定不得含有的其他内容。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药品、医疗器械、保健食品和特殊医学用途配方食品注册证明文件或者备案凭证持有人及其授权同意的生产、经营企业为广告申请人（以下简称申请人）。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申请人可以委托代理人办理药品、医疗器械、保健食品和特殊医学用途配方食品广告审查申请。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药品、特殊医学用途配方食品广告审查申请应当依法向生产企业或者进口代理人等广告主所在地广告审查机关提出。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医疗器械、保健食品广告审查申请应当依法向生产企业或者进口代理人所在地广告审查机关提出。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申请药品、医疗器械、保健食品、特殊医学用途配方食品广告审查，应当依法提交《广告审查表》、与发布内容一致的广告样件，以及下列合法有效的材料：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（一）申请人的主体资格相关材料，或者合法有效的登记文件；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（二）产品注册证明文件或者备案凭证、注册或者备案的产品标签和说明书，以及生产许可文件；</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（三）广告中涉及的知识产权相关有效证明材料。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经授权同意作为申请人的生产、经营企业，还应当提交合法的授权文件；委托代理人进行申请的，还应当提交委托书和代理人的主体资格相关材料。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申请人可以到广告审查机关受理窗口提出申请，也可以通过信函、传真、电子邮件或者电子政务平台提交药品、医疗器械、保健食品和特殊医学用途配方食品广告申请。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广告审查机关收到申请人提交的申请后，应当在五个工作日内作出受理或者不予受理决定。申请材料齐全、符合法定形式的，应当予以受理，出具《广告审查受理通知书》。申请材料不齐全、不符合法定形式的，应当一次性告知申请人需要补正的全部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广告审查机关应当对申请人提交的材料进行审查，自受理之日起十个工作日内完成审查工作。经审查，对符合法律、行政法规和本办法规定的广告，应当作出审查批准的决定，编发广告批准文号。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对不符合法律、行政法规和本办法规定的广告，应当作出不予批准的决定，送达申请人并说明理由，同时告知其享有依法申请行政复议或者提起行政诉讼的权利。</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经审查批准的药品、医疗器械、保健食品和特殊医学用途配方食品广告，广告审查机关应当通过本部门网站以及其他方便公众查询的方式，在十个工作日内向社会公开。公开的信息应当包括广告批准文号、申请人名称、广告发布内容、广告批准文号有效期、广告类别、产品名称、产品注册证明文件或者备案凭证编号等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药品、医疗器械、保健食品和特殊医学用途配方食品广告批准文号的有效期与产品注册证明文件、备案凭证或者生产许可文件最短的有效期一致。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产品注册证明文件、备案凭证或者生产许可文件未规定有效期的，广告批准文号有效期为两年。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第十九条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申请人有下列情形的，不得继续发布审查批准的广告，并应当主动申请注销药品、医疗器械、保健食品和特殊医学用途配方食品广告批准文号：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（一）主体资格证照被吊销、撤销、注销的；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（二）产品注册证明文件、备案凭证或者生产许可文件被撤销、注销的；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（三）法律、行政法规规定应当注销的其他情形。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广告审查机关发现申请人有前款情形的，应当依法注销其药品、医疗器械、保健食品和特殊医学用途配方食品广告批准文号。</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广告主、广告经营者、广告发布者应当严格按照审查通过的内容发布药品、医疗器械、保健食品和特殊医学用途配方食品广告，不得进行剪辑、拼接、修改。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已经审查通过的广告内容需要改动的，应当重新申请广告审查。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下列药品、医疗器械、保健食品和特殊医学用途配方食品不得发布广告：</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（一）麻醉药品、精神药品、医疗用毒性药品、放射性药品、药品类易制毒化学品，以及戒毒治疗的药品、医疗器械；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（二）军队特需药品、军队医疗机构配制的制剂；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（三）医疗机构配制的制剂；</w:t>
      </w:r>
      <w:bookmarkStart w:id="0" w:name="_GoBack"/>
      <w:bookmarkEnd w:id="0"/>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（四）依法停止或者禁止生产、销售或者使用的药品、医疗器械、保健食品和特殊医学用途配方食品;</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（五）法律、行政法规禁止发布广告的情形。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本办法第二十一条规定以外的处方药和特殊医学用途配方食品中的特定全营养配方食品广告只能在国务院卫生行政部门和国务院药品监督管理部门共同指定的医学、药学专业刊物上发布。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不得利用处方药或者特定全营养配方食品的名称为各种活动冠名进行广告宣传。不得使用与处方药名称或者特定全营养配方食品名称相同的商标、企业字号在医学、药学专业刊物以外的媒介变相发布广告，也不得利用该商标、企业字号为各种活动冠名进行广告宣传。</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特殊医学用途婴儿配方食品广告不得在大众传播媒介或者公共场所发布。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药品、医疗器械、保健食品和特殊医学用途配方食品广告中只宣传产品名称（含药品通用名称和药品商品名称）的，不再对其内容进行审查。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经广告审查机关审查通过并向社会公开的药品广告，可以依法在全国范围内发布。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第二十五条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违反本办法第十条规定，未显著、清晰表示广告中应当显著标明内容的，按照《中华人民共和国广告法》第五十九条处罚。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第二十六条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有下列情形之一的，按照《中华人民共和国广告法》第五十八条处罚：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（一）违反本办法第二条第二款规定，未经审查发布药品、医疗器械、保健食品和特殊医学用途配方食品广告；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（二）违反本办法第十九条规定或者广告批准文号已超过有效期，仍继续发布药品、医疗器械、保健食品和特殊医学用途配方食品广告；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（三）违反本办法第二十条规定，未按照审查通过的内容发布药品、医疗器械、保健食品和特殊医学用途配方食品广告。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第二十七条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十一条第二项至第五项规定，发布药品、医疗器械、保健食品和特殊医学用途配方食品广告的，依照《中华人民共和国广告法》第五十八条的规定处罚；构成虚假广告的，依照《中华人民共和国广告法》第五十五条的规定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第二十八条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十一条第六项至第八项规定，发布药品、医疗器械、保健食品和特殊医学用途配方食品广告的，《中华人民共和国广告法》及其他法律法规有规定的，依照相关规定处罚，没有规定的，由县级以上市场监督管理部门责令改正；对负有责任的广告主、广告经营者、广告发布者处以违法所得三倍以下罚款，但最高不超过三万元；没有违法所得的，可处一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第二十九条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违反本办法第十一条第一项、第二十一条、第二十二条规定的，按照《中华人民共和国广告法》第五十七条处罚。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有下列情形之一的，按照《中华人民共和国广告法》第六十五条处罚：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（一）隐瞒真实情况或者提供虚假材料申请药品、医疗器械、保健食品和特殊医学用途配方食品广告审查的；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（二）以欺骗、贿赂等不正当手段取得药品、医疗器械、保健食品和特殊医学用途配方食品广告批准文号的。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第三十一条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市场监督管理部门对违反本办法规定的行为作出行政处罚决定后，应当依法通过国家企业信用信息公示系统向社会公示。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第三十二条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广告审查机关的工作人员玩忽职守、滥用职权、徇私舞弊的，依法给予处分。构成犯罪的，依法追究刑事责任。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第三十三条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本办法涉及的文书格式范本由国家市场监督管理总局统一制定。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b w:val="0"/>
          <w:bCs w:val="0"/>
          <w:color w:val="auto"/>
          <w:sz w:val="32"/>
          <w:szCs w:val="32"/>
        </w:rPr>
      </w:pPr>
      <w:r>
        <w:rPr>
          <w:rFonts w:hint="eastAsia" w:ascii="Times New Roman" w:hAnsi="Times New Roman" w:eastAsia="仿宋_GB2312"/>
          <w:b w:val="0"/>
          <w:bCs w:val="0"/>
          <w:color w:val="auto"/>
          <w:sz w:val="32"/>
          <w:szCs w:val="32"/>
        </w:rPr>
        <w:t>　　</w:t>
      </w:r>
      <w:r>
        <w:rPr>
          <w:rFonts w:hint="eastAsia" w:ascii="Times New Roman" w:hAnsi="Times New Roman" w:eastAsia="黑体"/>
          <w:b w:val="0"/>
          <w:bCs w:val="0"/>
          <w:color w:val="auto"/>
          <w:sz w:val="32"/>
          <w:szCs w:val="32"/>
        </w:rPr>
        <w:t>第三十四条</w:t>
      </w:r>
      <w:r>
        <w:rPr>
          <w:rFonts w:hint="eastAsia" w:ascii="Times New Roman" w:hAnsi="Times New Roman" w:eastAsia="仿宋_GB2312"/>
          <w:b w:val="0"/>
          <w:bCs w:val="0"/>
          <w:color w:val="auto"/>
          <w:sz w:val="32"/>
          <w:szCs w:val="32"/>
          <w:lang w:eastAsia="zh-CN"/>
        </w:rPr>
        <w:t xml:space="preserve">  </w:t>
      </w:r>
      <w:r>
        <w:rPr>
          <w:rFonts w:hint="eastAsia" w:ascii="Times New Roman" w:hAnsi="Times New Roman" w:eastAsia="仿宋_GB2312"/>
          <w:b w:val="0"/>
          <w:bCs w:val="0"/>
          <w:color w:val="auto"/>
          <w:sz w:val="32"/>
          <w:szCs w:val="32"/>
        </w:rPr>
        <w:t>本办法自2020年3月1日起施行。1996年12月30日原国家工商行政管理局令第72号公布的《食品广告发布暂行规定》，2007年3月3日原国家工商行政管理总局、原国家食品药品监督管理局令第27号公布的《药品广告审查发布标准》，2007年3月13日原国家食品药品监督管理局、原国家工商行政管理总局令第27号发布的《药品广告审查办法》，2009年4月7日原卫生部、原国家工商行政管理总局、原国家食品药品监督管理局令第65号发布的《医疗器械广告审查办法》，2009年4月28日原国家工商行政管理总局、原卫生部、原国家食品药品监督管理局令第40号公布的《医疗器械广告审查发布标准》同时废止。</w:t>
      </w:r>
    </w:p>
    <w:p>
      <w:pPr>
        <w:keepNext w:val="0"/>
        <w:keepLines w:val="0"/>
        <w:pageBreakBefore w:val="0"/>
        <w:kinsoku/>
        <w:wordWrap/>
        <w:overflowPunct/>
        <w:topLinePunct w:val="0"/>
        <w:autoSpaceDE/>
        <w:autoSpaceDN/>
        <w:bidi w:val="0"/>
        <w:adjustRightInd/>
        <w:snapToGrid w:val="0"/>
        <w:spacing w:line="594" w:lineRule="exact"/>
        <w:textAlignment w:val="auto"/>
        <w:rPr>
          <w:rFonts w:ascii="Times New Roman" w:hAnsi="Times New Roman"/>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34E400C"/>
    <w:rsid w:val="04B679C3"/>
    <w:rsid w:val="07BC1B28"/>
    <w:rsid w:val="080F63D8"/>
    <w:rsid w:val="09341458"/>
    <w:rsid w:val="0B0912D7"/>
    <w:rsid w:val="152D2DCA"/>
    <w:rsid w:val="1DEC284C"/>
    <w:rsid w:val="1E6523AC"/>
    <w:rsid w:val="1F361A96"/>
    <w:rsid w:val="22440422"/>
    <w:rsid w:val="236E69A3"/>
    <w:rsid w:val="25117842"/>
    <w:rsid w:val="27FA06B1"/>
    <w:rsid w:val="2BBB27E9"/>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7F0221D"/>
    <w:rsid w:val="797F72CE"/>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11</Pages>
  <Words>4917</Words>
  <Characters>4952</Characters>
  <Lines>63</Lines>
  <Paragraphs>17</Paragraphs>
  <TotalTime>1</TotalTime>
  <ScaleCrop>false</ScaleCrop>
  <LinksUpToDate>false</LinksUpToDate>
  <CharactersWithSpaces>5170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2022-09-20T07:52:53Z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