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r>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t>零售商品称重计量监督管理办法</w:t>
      </w: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000000" w:themeColor="text1"/>
          <w:kern w:val="2"/>
          <w:sz w:val="44"/>
          <w:szCs w:val="44"/>
          <w14:textFill>
            <w14:solidFill>
              <w14:schemeClr w14:val="tx1"/>
            </w14:solidFill>
          </w14:textFill>
        </w:rPr>
      </w:pPr>
    </w:p>
    <w:p>
      <w:pPr>
        <w:pStyle w:val="6"/>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pP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（2004年8月10日国家质量监督检验检疫总局、国家工商行政管理总局令第66号发布</w:t>
      </w:r>
      <w:r>
        <w:rPr>
          <w:rFonts w:hint="eastAsia" w:ascii="Times New Roman" w:hAnsi="Times New Roman" w:eastAsia="楷体_GB2312" w:cs="Times New Roman"/>
          <w:b w:val="0"/>
          <w:bCs w:val="0"/>
          <w:color w:val="000000" w:themeColor="text1"/>
          <w:kern w:val="2"/>
          <w:sz w:val="32"/>
          <w:szCs w:val="32"/>
          <w:lang w:val="en-US" w:eastAsia="zh-CN"/>
          <w14:textFill>
            <w14:solidFill>
              <w14:schemeClr w14:val="tx1"/>
            </w14:solidFill>
          </w14:textFill>
        </w:rPr>
        <w:t xml:space="preserve">  </w:t>
      </w:r>
      <w:r>
        <w:rPr>
          <w:rFonts w:hint="default" w:ascii="Times New Roman" w:hAnsi="Times New Roman" w:eastAsia="楷体_GB2312" w:cs="Times New Roman"/>
          <w:b w:val="0"/>
          <w:bCs w:val="0"/>
          <w:color w:val="000000" w:themeColor="text1"/>
          <w:kern w:val="2"/>
          <w:sz w:val="32"/>
          <w:szCs w:val="32"/>
          <w14:textFill>
            <w14:solidFill>
              <w14:schemeClr w14:val="tx1"/>
            </w14:solidFill>
          </w14:textFill>
        </w:rPr>
        <w:t>根据2020年10月23日国家市场监督管理总局令第31号修订）</w:t>
      </w:r>
    </w:p>
    <w:p>
      <w:pPr>
        <w:keepNext w:val="0"/>
        <w:keepLines w:val="0"/>
        <w:pageBreakBefore w:val="0"/>
        <w:kinsoku/>
        <w:wordWrap/>
        <w:overflowPunct/>
        <w:topLinePunct w:val="0"/>
        <w:autoSpaceDE/>
        <w:autoSpaceDN/>
        <w:bidi w:val="0"/>
        <w:adjustRightInd/>
        <w:snapToGrid/>
        <w:spacing w:line="594" w:lineRule="exact"/>
        <w:ind w:left="0" w:leftChars="0" w:right="0" w:rightChars="0" w:firstLine="0" w:firstLineChars="0"/>
        <w:jc w:val="center"/>
        <w:textAlignment w:val="auto"/>
        <w:rPr>
          <w:rFonts w:hint="default" w:ascii="Times New Roman" w:hAnsi="Times New Roman" w:cs="Times New Roman"/>
          <w:b w:val="0"/>
          <w:bCs w:val="0"/>
          <w:color w:val="000000" w:themeColor="text1"/>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为维护社会主义市场经济秩序，制止利用计量手段欺骗消费者的不法行为，保护消费者的合法权益，根据《中华人民共和国计量法》、《中华人民共和国消费者权益保护法》等有关法律法规，制定本办法。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在中华人民共和国境内，从事零售商品的销售以及对其进行计量监督，必须遵守本办法。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本办法所称零售商品，是指以重量结算的食品、金银饰品。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其他以重量结算的商品和以容量、长度、面积等结算的商品，另行规定。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定量包装商品的生产、经销以及对其的计量监督应当遵守《定量包装商品计量监督管理办法》。</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零售商品经销者销售商品时，必须使用合格的计量器具，其最大允许误差应当优于或等于所销售商品的负偏差。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零售商品经销者使用称重计量器具当场称重商品，必须按照称重计量器具的实际示值结算，保证商品量计量合格。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第五条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零售商品经销者使用称重计量器具每次当场称重商品，在本办法附表1、附表2称重范围内，经核称商品的实际重量值与结算重量值之差不得超过该表规定的负偏差。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第六条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零售商品经销者和计量监督人员可以按照如下方法核称商品：</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原计量器具核称法：直接核称商品，商品的核称重量值与结算（标称）重量值之差不应超过商品的负偏差，并且称重与核称重量值等量的最大允许误差优于或等于所经销商品的负偏差三分之一的砝码，砝码示值与商品核称重量值之差不应超过商品的负偏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（二）高准确度称重计量器具核称法：用最大允许误差优于或等于所经销商品的负偏差三分之一的计量器具直接核称商品，商品的实际重量值与结算（标称）重量值之差不应超过商品的负偏差；</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（三）等准确度称重计量器具核称法：用另一台最大允许误差优于或等于所经销商品的负偏差的计量器具直接核称商品，商品的核称重量值与结算（标称）重量值之差不应超过商品的负偏差的2倍。</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第七条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本办法附表１中食品类尚未列出品种名称的，按照食品类相应价格档次的规定执行。</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第八条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被核称商品的含水量及含水量计算应当符合国家标准、行业标准的有关规定。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第九条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零售商品经销者不得拒绝市场监督管理部门依法对销售商品的计量监督检查。</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凡有下列情况之一的，县级以上地方市场监督管理部门可以依照计量法、消费者权益保护法等有关法律、法规或者规章给予行政处罚：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（一）零售商品经销者违反本办法第三条规定的；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（二）零售商品经销者销售的商品，经核称超出本办法附表１、附表2规定的负偏差，给消费者造成损失的。</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第十一条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本办法规定的行政处罚，由县级以上地方市场监督管理部门决定。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县级以上地方市场监督管理部门按照本办法实行行政处罚，必须遵守国家市场监督管理总局关于行政案件办理程序的有关规定。</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第十二条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行政相对人对行政处罚决定不服的，可以依法申请行政复议或者提起行政诉讼。</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b w:val="0"/>
          <w:bCs w:val="0"/>
          <w:color w:val="000000" w:themeColor="text1"/>
          <w:sz w:val="32"/>
          <w:szCs w:val="32"/>
          <w14:textFill>
            <w14:solidFill>
              <w14:schemeClr w14:val="tx1"/>
            </w14:solidFill>
          </w14:textFill>
        </w:rPr>
        <w:t>第十三条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本办法由国家市场监督管理总局负责解释。</w:t>
      </w:r>
    </w:p>
    <w:p>
      <w:pPr>
        <w:keepNext w:val="0"/>
        <w:keepLines w:val="0"/>
        <w:pageBreakBefore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黑体" w:cs="Times New Roman"/>
          <w:b w:val="0"/>
          <w:bCs w:val="0"/>
          <w:color w:val="000000" w:themeColor="text1"/>
          <w:sz w:val="32"/>
          <w:szCs w:val="32"/>
          <w14:textFill>
            <w14:solidFill>
              <w14:schemeClr w14:val="tx1"/>
            </w14:solidFill>
          </w14:textFill>
        </w:rPr>
        <w:t>第十四条</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 xml:space="preserve">  本办法自2004年12月1日起施行。原国家技术监督局、国内贸易部、国家工商行政管理局联合发布的《零售商品称重计量监督规定》（技监局发</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1993</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14:textFill>
            <w14:solidFill>
              <w14:schemeClr w14:val="tx1"/>
            </w14:solidFill>
          </w14:textFill>
        </w:rPr>
        <w:t>26号）同时废止。</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outlineLvl w:val="0"/>
        <w:rPr>
          <w:rFonts w:hint="eastAsia" w:ascii="Times New Roman" w:hAnsi="Times New Roman" w:eastAsia="黑体" w:cs="黑体"/>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附表</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1</w:t>
      </w:r>
    </w:p>
    <w:tbl>
      <w:tblPr>
        <w:tblStyle w:val="7"/>
        <w:tblW w:w="0" w:type="auto"/>
        <w:tblInd w:w="0" w:type="dxa"/>
        <w:shd w:val="clear" w:color="auto" w:fill="FFFFFF"/>
        <w:tblLayout w:type="fixed"/>
        <w:tblCellMar>
          <w:top w:w="0" w:type="dxa"/>
          <w:left w:w="0" w:type="dxa"/>
          <w:bottom w:w="0" w:type="dxa"/>
          <w:right w:w="0" w:type="dxa"/>
        </w:tblCellMar>
      </w:tblPr>
      <w:tblGrid>
        <w:gridCol w:w="4320"/>
        <w:gridCol w:w="3168"/>
        <w:gridCol w:w="1344"/>
      </w:tblGrid>
      <w:tr>
        <w:tblPrEx>
          <w:shd w:val="clear" w:color="auto" w:fill="FFFFFF"/>
          <w:tblCellMar>
            <w:top w:w="0" w:type="dxa"/>
            <w:left w:w="0" w:type="dxa"/>
            <w:bottom w:w="0" w:type="dxa"/>
            <w:right w:w="0" w:type="dxa"/>
          </w:tblCellMar>
        </w:tblPrEx>
        <w:tc>
          <w:tcPr>
            <w:tcW w:w="4320" w:type="dxa"/>
            <w:tcBorders>
              <w:top w:val="single" w:color="auto" w:sz="8" w:space="0"/>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食品品种、价格档次</w:t>
            </w:r>
          </w:p>
        </w:tc>
        <w:tc>
          <w:tcPr>
            <w:tcW w:w="3168" w:type="dxa"/>
            <w:tcBorders>
              <w:top w:val="single" w:color="auto" w:sz="8" w:space="0"/>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称重范围（m）</w:t>
            </w:r>
          </w:p>
        </w:tc>
        <w:tc>
          <w:tcPr>
            <w:tcW w:w="1344" w:type="dxa"/>
            <w:tcBorders>
              <w:top w:val="single" w:color="auto" w:sz="8" w:space="0"/>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负偏差</w:t>
            </w:r>
          </w:p>
        </w:tc>
      </w:tr>
      <w:tr>
        <w:tblPrEx>
          <w:tblCellMar>
            <w:top w:w="0" w:type="dxa"/>
            <w:left w:w="0" w:type="dxa"/>
            <w:bottom w:w="0" w:type="dxa"/>
            <w:right w:w="0" w:type="dxa"/>
          </w:tblCellMar>
        </w:tblPrEx>
        <w:tc>
          <w:tcPr>
            <w:tcW w:w="4320" w:type="dxa"/>
            <w:vMerge w:val="restart"/>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center"/>
          </w:tcPr>
          <w:p>
            <w:pPr>
              <w:keepNext w:val="0"/>
              <w:keepLines w:val="0"/>
              <w:pageBreakBefore w:val="0"/>
              <w:kinsoku/>
              <w:wordWrap/>
              <w:overflowPunct/>
              <w:topLinePunct w:val="0"/>
              <w:autoSpaceDE/>
              <w:autoSpaceDN/>
              <w:bidi w:val="0"/>
              <w:adjustRightInd/>
              <w:snapToGrid/>
              <w:spacing w:line="594" w:lineRule="exact"/>
              <w:jc w:val="lef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粮食、蔬菜、水果或不高于</w:t>
            </w:r>
          </w:p>
          <w:p>
            <w:pPr>
              <w:keepNext w:val="0"/>
              <w:keepLines w:val="0"/>
              <w:pageBreakBefore w:val="0"/>
              <w:kinsoku/>
              <w:wordWrap/>
              <w:overflowPunct/>
              <w:topLinePunct w:val="0"/>
              <w:autoSpaceDE/>
              <w:autoSpaceDN/>
              <w:bidi w:val="0"/>
              <w:adjustRightInd/>
              <w:snapToGrid/>
              <w:spacing w:line="594" w:lineRule="exact"/>
              <w:jc w:val="lef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6元/kg的食品</w:t>
            </w:r>
            <w:bookmarkStart w:id="0" w:name="_GoBack"/>
            <w:bookmarkEnd w:id="0"/>
          </w:p>
        </w:tc>
        <w:tc>
          <w:tcPr>
            <w:tcW w:w="3168"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M</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1kg</w:t>
            </w:r>
          </w:p>
        </w:tc>
        <w:tc>
          <w:tcPr>
            <w:tcW w:w="1344"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20g</w:t>
            </w:r>
          </w:p>
        </w:tc>
      </w:tr>
      <w:tr>
        <w:tblPrEx>
          <w:tblCellMar>
            <w:top w:w="0" w:type="dxa"/>
            <w:left w:w="0" w:type="dxa"/>
            <w:bottom w:w="0" w:type="dxa"/>
            <w:right w:w="0" w:type="dxa"/>
          </w:tblCellMar>
        </w:tblPrEx>
        <w:tc>
          <w:tcPr>
            <w:tcW w:w="4320" w:type="dxa"/>
            <w:vMerge w:val="continue"/>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tc>
        <w:tc>
          <w:tcPr>
            <w:tcW w:w="3168"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1kg&lt;m</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2kg</w:t>
            </w:r>
          </w:p>
        </w:tc>
        <w:tc>
          <w:tcPr>
            <w:tcW w:w="1344"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40g</w:t>
            </w:r>
          </w:p>
        </w:tc>
      </w:tr>
      <w:tr>
        <w:tblPrEx>
          <w:tblCellMar>
            <w:top w:w="0" w:type="dxa"/>
            <w:left w:w="0" w:type="dxa"/>
            <w:bottom w:w="0" w:type="dxa"/>
            <w:right w:w="0" w:type="dxa"/>
          </w:tblCellMar>
        </w:tblPrEx>
        <w:tc>
          <w:tcPr>
            <w:tcW w:w="4320" w:type="dxa"/>
            <w:vMerge w:val="continue"/>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tc>
        <w:tc>
          <w:tcPr>
            <w:tcW w:w="3168"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2kg&lt;m</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4kg</w:t>
            </w:r>
          </w:p>
        </w:tc>
        <w:tc>
          <w:tcPr>
            <w:tcW w:w="1344"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80g</w:t>
            </w:r>
          </w:p>
        </w:tc>
      </w:tr>
      <w:tr>
        <w:tblPrEx>
          <w:tblCellMar>
            <w:top w:w="0" w:type="dxa"/>
            <w:left w:w="0" w:type="dxa"/>
            <w:bottom w:w="0" w:type="dxa"/>
            <w:right w:w="0" w:type="dxa"/>
          </w:tblCellMar>
        </w:tblPrEx>
        <w:tc>
          <w:tcPr>
            <w:tcW w:w="4320" w:type="dxa"/>
            <w:vMerge w:val="continue"/>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tc>
        <w:tc>
          <w:tcPr>
            <w:tcW w:w="3168"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4kg&lt;m</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25kg</w:t>
            </w:r>
          </w:p>
        </w:tc>
        <w:tc>
          <w:tcPr>
            <w:tcW w:w="1344"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100g</w:t>
            </w:r>
          </w:p>
        </w:tc>
      </w:tr>
      <w:tr>
        <w:tblPrEx>
          <w:tblCellMar>
            <w:top w:w="0" w:type="dxa"/>
            <w:left w:w="0" w:type="dxa"/>
            <w:bottom w:w="0" w:type="dxa"/>
            <w:right w:w="0" w:type="dxa"/>
          </w:tblCellMar>
        </w:tblPrEx>
        <w:trPr>
          <w:trHeight w:val="789" w:hRule="atLeast"/>
        </w:trPr>
        <w:tc>
          <w:tcPr>
            <w:tcW w:w="4320" w:type="dxa"/>
            <w:vMerge w:val="restart"/>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jc w:val="lef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肉、蛋、禽</w:t>
            </w:r>
            <m:oMath>
              <m:r>
                <m:rPr>
                  <m:sty m:val="p"/>
                </m:rPr>
                <w:rPr>
                  <w:rFonts w:hint="eastAsia" w:ascii="Cambria Math" w:hAnsi="Cambria Math" w:eastAsia="仿宋_GB2312" w:cs="仿宋_GB2312"/>
                  <w:color w:val="000000" w:themeColor="text1"/>
                  <w:kern w:val="2"/>
                  <w:sz w:val="32"/>
                  <w:szCs w:val="32"/>
                  <w:lang w:val="en-US" w:eastAsia="zh-CN"/>
                  <w14:textFill>
                    <w14:solidFill>
                      <w14:schemeClr w14:val="tx1"/>
                    </w14:solidFill>
                  </w14:textFill>
                </w:rPr>
                <m:t>∗</m:t>
              </m:r>
            </m:oMath>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、海（水）产品</w:t>
            </w:r>
            <m:oMath>
              <m:r>
                <m:rPr>
                  <m:sty m:val="p"/>
                </m:rPr>
                <w:rPr>
                  <w:rFonts w:hint="eastAsia" w:ascii="Cambria Math" w:hAnsi="Cambria Math" w:eastAsia="仿宋_GB2312" w:cs="仿宋_GB2312"/>
                  <w:color w:val="000000" w:themeColor="text1"/>
                  <w:kern w:val="2"/>
                  <w:sz w:val="32"/>
                  <w:szCs w:val="32"/>
                  <w:lang w:val="en-US" w:eastAsia="zh-CN"/>
                  <w14:textFill>
                    <w14:solidFill>
                      <w14:schemeClr w14:val="tx1"/>
                    </w14:solidFill>
                  </w14:textFill>
                </w:rPr>
                <m:t>∗</m:t>
              </m:r>
            </m:oMath>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、糕点、糖果、调味品或高于6元/kg，但不高于30元/kg的食品</w:t>
            </w:r>
          </w:p>
        </w:tc>
        <w:tc>
          <w:tcPr>
            <w:tcW w:w="3168"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m</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2.5kg</w:t>
            </w:r>
          </w:p>
        </w:tc>
        <w:tc>
          <w:tcPr>
            <w:tcW w:w="1344"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5g</w:t>
            </w:r>
          </w:p>
        </w:tc>
      </w:tr>
      <w:tr>
        <w:tblPrEx>
          <w:tblCellMar>
            <w:top w:w="0" w:type="dxa"/>
            <w:left w:w="0" w:type="dxa"/>
            <w:bottom w:w="0" w:type="dxa"/>
            <w:right w:w="0" w:type="dxa"/>
          </w:tblCellMar>
        </w:tblPrEx>
        <w:trPr>
          <w:trHeight w:val="789" w:hRule="atLeast"/>
        </w:trPr>
        <w:tc>
          <w:tcPr>
            <w:tcW w:w="4320" w:type="dxa"/>
            <w:vMerge w:val="continue"/>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tc>
        <w:tc>
          <w:tcPr>
            <w:tcW w:w="3168"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2.5kg&lt;m</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10kg</w:t>
            </w:r>
          </w:p>
        </w:tc>
        <w:tc>
          <w:tcPr>
            <w:tcW w:w="1344"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10g</w:t>
            </w:r>
          </w:p>
        </w:tc>
      </w:tr>
      <w:tr>
        <w:tblPrEx>
          <w:tblCellMar>
            <w:top w:w="0" w:type="dxa"/>
            <w:left w:w="0" w:type="dxa"/>
            <w:bottom w:w="0" w:type="dxa"/>
            <w:right w:w="0" w:type="dxa"/>
          </w:tblCellMar>
        </w:tblPrEx>
        <w:tc>
          <w:tcPr>
            <w:tcW w:w="4320" w:type="dxa"/>
            <w:vMerge w:val="continue"/>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tc>
        <w:tc>
          <w:tcPr>
            <w:tcW w:w="3168"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10kg&lt;m</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15kg</w:t>
            </w:r>
          </w:p>
        </w:tc>
        <w:tc>
          <w:tcPr>
            <w:tcW w:w="1344"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15g</w:t>
            </w:r>
          </w:p>
        </w:tc>
      </w:tr>
      <w:tr>
        <w:tblPrEx>
          <w:tblCellMar>
            <w:top w:w="0" w:type="dxa"/>
            <w:left w:w="0" w:type="dxa"/>
            <w:bottom w:w="0" w:type="dxa"/>
            <w:right w:w="0" w:type="dxa"/>
          </w:tblCellMar>
        </w:tblPrEx>
        <w:tc>
          <w:tcPr>
            <w:tcW w:w="4320" w:type="dxa"/>
            <w:vMerge w:val="restart"/>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干菜、山（海）珍品或高于</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30元/kg，但不高于100元/kg 的食品</w:t>
            </w:r>
          </w:p>
        </w:tc>
        <w:tc>
          <w:tcPr>
            <w:tcW w:w="3168"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m</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1kg</w:t>
            </w:r>
          </w:p>
        </w:tc>
        <w:tc>
          <w:tcPr>
            <w:tcW w:w="1344"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2g</w:t>
            </w:r>
          </w:p>
        </w:tc>
      </w:tr>
      <w:tr>
        <w:tblPrEx>
          <w:tblCellMar>
            <w:top w:w="0" w:type="dxa"/>
            <w:left w:w="0" w:type="dxa"/>
            <w:bottom w:w="0" w:type="dxa"/>
            <w:right w:w="0" w:type="dxa"/>
          </w:tblCellMar>
        </w:tblPrEx>
        <w:tc>
          <w:tcPr>
            <w:tcW w:w="4320" w:type="dxa"/>
            <w:vMerge w:val="continue"/>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tc>
        <w:tc>
          <w:tcPr>
            <w:tcW w:w="3168"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1kg&lt;m</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4kg</w:t>
            </w:r>
          </w:p>
        </w:tc>
        <w:tc>
          <w:tcPr>
            <w:tcW w:w="1344"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4g</w:t>
            </w:r>
          </w:p>
        </w:tc>
      </w:tr>
      <w:tr>
        <w:tblPrEx>
          <w:tblCellMar>
            <w:top w:w="0" w:type="dxa"/>
            <w:left w:w="0" w:type="dxa"/>
            <w:bottom w:w="0" w:type="dxa"/>
            <w:right w:w="0" w:type="dxa"/>
          </w:tblCellMar>
        </w:tblPrEx>
        <w:tc>
          <w:tcPr>
            <w:tcW w:w="4320" w:type="dxa"/>
            <w:vMerge w:val="continue"/>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tc>
        <w:tc>
          <w:tcPr>
            <w:tcW w:w="3168"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4kg&lt;m</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6kg</w:t>
            </w:r>
          </w:p>
        </w:tc>
        <w:tc>
          <w:tcPr>
            <w:tcW w:w="1344"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6g</w:t>
            </w:r>
          </w:p>
        </w:tc>
      </w:tr>
      <w:tr>
        <w:tblPrEx>
          <w:tblCellMar>
            <w:top w:w="0" w:type="dxa"/>
            <w:left w:w="0" w:type="dxa"/>
            <w:bottom w:w="0" w:type="dxa"/>
            <w:right w:w="0" w:type="dxa"/>
          </w:tblCellMar>
        </w:tblPrEx>
        <w:tc>
          <w:tcPr>
            <w:tcW w:w="4320" w:type="dxa"/>
            <w:vMerge w:val="restart"/>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高于100元/kg的食品</w:t>
            </w:r>
          </w:p>
        </w:tc>
        <w:tc>
          <w:tcPr>
            <w:tcW w:w="3168"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m</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500g</w:t>
            </w:r>
          </w:p>
        </w:tc>
        <w:tc>
          <w:tcPr>
            <w:tcW w:w="1344"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1g</w:t>
            </w:r>
          </w:p>
        </w:tc>
      </w:tr>
      <w:tr>
        <w:tblPrEx>
          <w:tblCellMar>
            <w:top w:w="0" w:type="dxa"/>
            <w:left w:w="0" w:type="dxa"/>
            <w:bottom w:w="0" w:type="dxa"/>
            <w:right w:w="0" w:type="dxa"/>
          </w:tblCellMar>
        </w:tblPrEx>
        <w:tc>
          <w:tcPr>
            <w:tcW w:w="4320" w:type="dxa"/>
            <w:vMerge w:val="continue"/>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tc>
        <w:tc>
          <w:tcPr>
            <w:tcW w:w="3168"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500g&lt;m</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2kg</w:t>
            </w:r>
          </w:p>
        </w:tc>
        <w:tc>
          <w:tcPr>
            <w:tcW w:w="1344"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2g</w:t>
            </w:r>
          </w:p>
        </w:tc>
      </w:tr>
      <w:tr>
        <w:tblPrEx>
          <w:tblCellMar>
            <w:top w:w="0" w:type="dxa"/>
            <w:left w:w="0" w:type="dxa"/>
            <w:bottom w:w="0" w:type="dxa"/>
            <w:right w:w="0" w:type="dxa"/>
          </w:tblCellMar>
        </w:tblPrEx>
        <w:tc>
          <w:tcPr>
            <w:tcW w:w="4320" w:type="dxa"/>
            <w:vMerge w:val="continue"/>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p>
        </w:tc>
        <w:tc>
          <w:tcPr>
            <w:tcW w:w="3168"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2kg&lt;m</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5kg</w:t>
            </w:r>
          </w:p>
        </w:tc>
        <w:tc>
          <w:tcPr>
            <w:tcW w:w="1344"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3g</w:t>
            </w:r>
          </w:p>
        </w:tc>
      </w:tr>
    </w:tbl>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m:oMath>
        <m:r>
          <m:rPr>
            <m:sty m:val="p"/>
          </m:rPr>
          <w:rPr>
            <w:rFonts w:hint="eastAsia" w:ascii="Cambria Math" w:hAnsi="Cambria Math" w:eastAsia="仿宋_GB2312" w:cs="仿宋_GB2312"/>
            <w:color w:val="000000" w:themeColor="text1"/>
            <w:kern w:val="2"/>
            <w:sz w:val="32"/>
            <w:szCs w:val="32"/>
            <w:lang w:val="en-US" w:eastAsia="zh-CN"/>
            <w14:textFill>
              <w14:solidFill>
                <w14:schemeClr w14:val="tx1"/>
              </w14:solidFill>
            </w14:textFill>
          </w:rPr>
          <m:t>∗</m:t>
        </m:r>
      </m:oMath>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注：活禽、活鱼、水发物除外。</w:t>
      </w: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line="594" w:lineRule="exact"/>
        <w:textAlignment w:val="auto"/>
        <w:outlineLvl w:val="0"/>
        <w:rPr>
          <w:rFonts w:hint="eastAsia" w:ascii="Times New Roman" w:hAnsi="Times New Roman" w:eastAsia="黑体" w:cs="黑体"/>
          <w:b w:val="0"/>
          <w:bCs w:val="0"/>
          <w:color w:val="000000" w:themeColor="text1"/>
          <w:sz w:val="32"/>
          <w:szCs w:val="32"/>
          <w14:textFill>
            <w14:solidFill>
              <w14:schemeClr w14:val="tx1"/>
            </w14:solidFill>
          </w14:textFill>
        </w:rPr>
      </w:pPr>
      <w:r>
        <w:rPr>
          <w:rFonts w:hint="eastAsia" w:ascii="Times New Roman" w:hAnsi="Times New Roman" w:eastAsia="黑体" w:cs="黑体"/>
          <w:b w:val="0"/>
          <w:bCs w:val="0"/>
          <w:color w:val="000000" w:themeColor="text1"/>
          <w:sz w:val="32"/>
          <w:szCs w:val="32"/>
          <w:lang w:val="en-US" w:eastAsia="zh-CN"/>
          <w14:textFill>
            <w14:solidFill>
              <w14:schemeClr w14:val="tx1"/>
            </w14:solidFill>
          </w14:textFill>
        </w:rPr>
        <w:t>附表</w:t>
      </w:r>
      <w:r>
        <w:rPr>
          <w:rFonts w:hint="default" w:ascii="Times New Roman" w:hAnsi="Times New Roman" w:eastAsia="黑体" w:cs="Times New Roman"/>
          <w:b w:val="0"/>
          <w:bCs w:val="0"/>
          <w:color w:val="000000" w:themeColor="text1"/>
          <w:sz w:val="32"/>
          <w:szCs w:val="32"/>
          <w:lang w:val="en-US" w:eastAsia="zh-CN"/>
          <w14:textFill>
            <w14:solidFill>
              <w14:schemeClr w14:val="tx1"/>
            </w14:solidFill>
          </w14:textFill>
        </w:rPr>
        <w:t>2</w:t>
      </w:r>
    </w:p>
    <w:tbl>
      <w:tblPr>
        <w:tblStyle w:val="7"/>
        <w:tblW w:w="0" w:type="auto"/>
        <w:tblInd w:w="0" w:type="dxa"/>
        <w:shd w:val="clear" w:color="auto" w:fill="FFFFFF"/>
        <w:tblLayout w:type="fixed"/>
        <w:tblCellMar>
          <w:top w:w="0" w:type="dxa"/>
          <w:left w:w="0" w:type="dxa"/>
          <w:bottom w:w="0" w:type="dxa"/>
          <w:right w:w="0" w:type="dxa"/>
        </w:tblCellMar>
      </w:tblPr>
      <w:tblGrid>
        <w:gridCol w:w="2465"/>
        <w:gridCol w:w="3690"/>
        <w:gridCol w:w="2365"/>
      </w:tblGrid>
      <w:tr>
        <w:tblPrEx>
          <w:shd w:val="clear" w:color="auto" w:fill="FFFFFF"/>
          <w:tblCellMar>
            <w:top w:w="0" w:type="dxa"/>
            <w:left w:w="0" w:type="dxa"/>
            <w:bottom w:w="0" w:type="dxa"/>
            <w:right w:w="0" w:type="dxa"/>
          </w:tblCellMar>
        </w:tblPrEx>
        <w:tc>
          <w:tcPr>
            <w:tcW w:w="2465" w:type="dxa"/>
            <w:tcBorders>
              <w:top w:val="single" w:color="auto" w:sz="8" w:space="0"/>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名</w:t>
            </w:r>
            <w:r>
              <w:rPr>
                <w:rFonts w:hint="eastAsia" w:eastAsia="仿宋_GB2312" w:cs="Times New Roman"/>
                <w:b w:val="0"/>
                <w:bCs w:val="0"/>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称</w:t>
            </w:r>
          </w:p>
        </w:tc>
        <w:tc>
          <w:tcPr>
            <w:tcW w:w="3690" w:type="dxa"/>
            <w:tcBorders>
              <w:top w:val="single" w:color="auto" w:sz="8" w:space="0"/>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称重范围(m)</w:t>
            </w:r>
          </w:p>
        </w:tc>
        <w:tc>
          <w:tcPr>
            <w:tcW w:w="2365" w:type="dxa"/>
            <w:tcBorders>
              <w:top w:val="single" w:color="auto" w:sz="8" w:space="0"/>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负偏差</w:t>
            </w:r>
          </w:p>
        </w:tc>
      </w:tr>
      <w:tr>
        <w:tblPrEx>
          <w:tblCellMar>
            <w:top w:w="0" w:type="dxa"/>
            <w:left w:w="0" w:type="dxa"/>
            <w:bottom w:w="0" w:type="dxa"/>
            <w:right w:w="0" w:type="dxa"/>
          </w:tblCellMar>
        </w:tblPrEx>
        <w:tc>
          <w:tcPr>
            <w:tcW w:w="2465" w:type="dxa"/>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金饰品</w:t>
            </w:r>
          </w:p>
        </w:tc>
        <w:tc>
          <w:tcPr>
            <w:tcW w:w="3690"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m（每件）</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100g</w:t>
            </w:r>
          </w:p>
        </w:tc>
        <w:tc>
          <w:tcPr>
            <w:tcW w:w="2365"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0.01g</w:t>
            </w:r>
          </w:p>
        </w:tc>
      </w:tr>
      <w:tr>
        <w:tblPrEx>
          <w:tblCellMar>
            <w:top w:w="0" w:type="dxa"/>
            <w:left w:w="0" w:type="dxa"/>
            <w:bottom w:w="0" w:type="dxa"/>
            <w:right w:w="0" w:type="dxa"/>
          </w:tblCellMar>
        </w:tblPrEx>
        <w:tc>
          <w:tcPr>
            <w:tcW w:w="2465" w:type="dxa"/>
            <w:tcBorders>
              <w:top w:val="nil"/>
              <w:left w:val="single" w:color="auto" w:sz="8" w:space="0"/>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jc w:val="center"/>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银饰品</w:t>
            </w:r>
          </w:p>
        </w:tc>
        <w:tc>
          <w:tcPr>
            <w:tcW w:w="3690"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m（每件）</w:t>
            </w:r>
            <w:r>
              <w:rPr>
                <w:rFonts w:hint="eastAsia" w:ascii="Times New Roman" w:hAnsi="Times New Roman" w:eastAsia="仿宋_GB2312" w:cs="Times New Roman"/>
                <w:b w:val="0"/>
                <w:bCs w:val="0"/>
                <w:color w:val="000000" w:themeColor="text1"/>
                <w:sz w:val="32"/>
                <w:szCs w:val="32"/>
                <w:lang w:val="en-US" w:eastAsia="zh-CN"/>
                <w14:textFill>
                  <w14:solidFill>
                    <w14:schemeClr w14:val="tx1"/>
                  </w14:solidFill>
                </w14:textFill>
              </w:rPr>
              <w:t>≤</w:t>
            </w: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100g</w:t>
            </w:r>
          </w:p>
        </w:tc>
        <w:tc>
          <w:tcPr>
            <w:tcW w:w="2365" w:type="dxa"/>
            <w:tcBorders>
              <w:top w:val="nil"/>
              <w:left w:val="nil"/>
              <w:bottom w:val="single" w:color="auto" w:sz="8" w:space="0"/>
              <w:right w:val="single" w:color="auto" w:sz="8" w:space="0"/>
            </w:tcBorders>
            <w:shd w:val="clear" w:color="auto" w:fill="FFFFFF"/>
            <w:noWrap w:val="0"/>
            <w:tcMar>
              <w:left w:w="108" w:type="dxa"/>
              <w:right w:w="108" w:type="dxa"/>
            </w:tcMar>
            <w:vAlign w:val="top"/>
          </w:tcPr>
          <w:p>
            <w:pPr>
              <w:keepNext w:val="0"/>
              <w:keepLines w:val="0"/>
              <w:pageBreakBefore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b w:val="0"/>
                <w:bCs w:val="0"/>
                <w:color w:val="000000" w:themeColor="text1"/>
                <w:sz w:val="32"/>
                <w:szCs w:val="32"/>
                <w14:textFill>
                  <w14:solidFill>
                    <w14:schemeClr w14:val="tx1"/>
                  </w14:solidFill>
                </w14:textFill>
              </w:rPr>
            </w:pPr>
            <w:r>
              <w:rPr>
                <w:rFonts w:hint="default" w:ascii="Times New Roman" w:hAnsi="Times New Roman" w:eastAsia="仿宋_GB2312" w:cs="Times New Roman"/>
                <w:b w:val="0"/>
                <w:bCs w:val="0"/>
                <w:color w:val="000000" w:themeColor="text1"/>
                <w:sz w:val="32"/>
                <w:szCs w:val="32"/>
                <w:lang w:val="en-US" w:eastAsia="zh-CN"/>
                <w14:textFill>
                  <w14:solidFill>
                    <w14:schemeClr w14:val="tx1"/>
                  </w14:solidFill>
                </w14:textFill>
              </w:rPr>
              <w:t>0.1g</w:t>
            </w:r>
          </w:p>
        </w:tc>
      </w:tr>
    </w:tbl>
    <w:p>
      <w:pPr>
        <w:keepNext w:val="0"/>
        <w:keepLines w:val="0"/>
        <w:pageBreakBefore w:val="0"/>
        <w:kinsoku/>
        <w:wordWrap/>
        <w:overflowPunct/>
        <w:topLinePunct w:val="0"/>
        <w:autoSpaceDE/>
        <w:autoSpaceDN/>
        <w:bidi w:val="0"/>
        <w:adjustRightInd/>
        <w:snapToGrid/>
        <w:spacing w:line="594" w:lineRule="exact"/>
        <w:textAlignment w:val="auto"/>
        <w:rPr>
          <w:rFonts w:ascii="Times New Roman" w:hAnsi="Times New Roman"/>
          <w:b w:val="0"/>
          <w:bCs w:val="0"/>
          <w:color w:val="000000" w:themeColor="text1"/>
          <w14:textFill>
            <w14:solidFill>
              <w14:schemeClr w14:val="tx1"/>
            </w14:solidFill>
          </w14:textFill>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Tahoma">
    <w:panose1 w:val="020B0604030504040204"/>
    <w:charset w:val="00"/>
    <w:family w:val="auto"/>
    <w:pitch w:val="default"/>
    <w:sig w:usb0="E1002EFF" w:usb1="C000605B" w:usb2="00000029" w:usb3="00000000" w:csb0="200101FF" w:csb1="20280000"/>
  </w:font>
  <w:font w:name="MS Mincho">
    <w:panose1 w:val="020206090402050803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5713EB9"/>
    <w:rsid w:val="080F63D8"/>
    <w:rsid w:val="09341458"/>
    <w:rsid w:val="0AAF1847"/>
    <w:rsid w:val="0B0912D7"/>
    <w:rsid w:val="0D054785"/>
    <w:rsid w:val="13423986"/>
    <w:rsid w:val="152D2DCA"/>
    <w:rsid w:val="167F4AB6"/>
    <w:rsid w:val="1847093C"/>
    <w:rsid w:val="18D72194"/>
    <w:rsid w:val="1B7543E7"/>
    <w:rsid w:val="1DEC284C"/>
    <w:rsid w:val="1E6523AC"/>
    <w:rsid w:val="1F361A96"/>
    <w:rsid w:val="1FF836E7"/>
    <w:rsid w:val="21FF061A"/>
    <w:rsid w:val="22440422"/>
    <w:rsid w:val="235A4DAC"/>
    <w:rsid w:val="2431531A"/>
    <w:rsid w:val="25117842"/>
    <w:rsid w:val="269C67AD"/>
    <w:rsid w:val="27FA06B1"/>
    <w:rsid w:val="31A15F24"/>
    <w:rsid w:val="33A95A17"/>
    <w:rsid w:val="395347B5"/>
    <w:rsid w:val="39A232A0"/>
    <w:rsid w:val="39BE0417"/>
    <w:rsid w:val="39E745AA"/>
    <w:rsid w:val="3B5A6BBB"/>
    <w:rsid w:val="3DA2013A"/>
    <w:rsid w:val="3E004607"/>
    <w:rsid w:val="3EDA13A6"/>
    <w:rsid w:val="42F058B7"/>
    <w:rsid w:val="436109F6"/>
    <w:rsid w:val="441A38D4"/>
    <w:rsid w:val="44A86E54"/>
    <w:rsid w:val="477D3B0A"/>
    <w:rsid w:val="49D91622"/>
    <w:rsid w:val="4B3A746D"/>
    <w:rsid w:val="4B85080B"/>
    <w:rsid w:val="4BC77339"/>
    <w:rsid w:val="4C9236C5"/>
    <w:rsid w:val="4D1912C4"/>
    <w:rsid w:val="4D31441A"/>
    <w:rsid w:val="4EA821EC"/>
    <w:rsid w:val="4ED05794"/>
    <w:rsid w:val="505C172E"/>
    <w:rsid w:val="512207F0"/>
    <w:rsid w:val="522E349B"/>
    <w:rsid w:val="52F46F0B"/>
    <w:rsid w:val="538E3AFD"/>
    <w:rsid w:val="53D8014D"/>
    <w:rsid w:val="54DA09AE"/>
    <w:rsid w:val="55186E99"/>
    <w:rsid w:val="55CB762E"/>
    <w:rsid w:val="55E064E0"/>
    <w:rsid w:val="572C6D10"/>
    <w:rsid w:val="58E4661C"/>
    <w:rsid w:val="5A5A74FF"/>
    <w:rsid w:val="5B0F7567"/>
    <w:rsid w:val="5BE223A9"/>
    <w:rsid w:val="5DC34279"/>
    <w:rsid w:val="5DFE5C52"/>
    <w:rsid w:val="5E077A21"/>
    <w:rsid w:val="5EC12C3D"/>
    <w:rsid w:val="608816D1"/>
    <w:rsid w:val="60EF4E7F"/>
    <w:rsid w:val="63FF5EE3"/>
    <w:rsid w:val="665233C1"/>
    <w:rsid w:val="67082B1E"/>
    <w:rsid w:val="67D86D04"/>
    <w:rsid w:val="6AD9688B"/>
    <w:rsid w:val="6D0E3F22"/>
    <w:rsid w:val="6E6A06EF"/>
    <w:rsid w:val="70E46F2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1502</Words>
  <Characters>1646</Characters>
  <Lines>63</Lines>
  <Paragraphs>17</Paragraphs>
  <TotalTime>9</TotalTime>
  <ScaleCrop>false</ScaleCrop>
  <LinksUpToDate>false</LinksUpToDate>
  <CharactersWithSpaces>1768</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2022-09-22T09:38:07Z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41A02C1046C44372AABC19BFA62ED031</vt:lpwstr>
  </property>
</Properties>
</file>