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Pronalaženje referenci u pravnim dokumentima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Postoji tri nivoa referenci: nivo dela, nivo izraza i nivo manifestacije. U zavisnosti od toga formiraju se različite reference. Pravila su preuzeta sa Akoma Ntoso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pravilnika</w:t>
        </w:r>
      </w:hyperlink>
      <w:r w:rsidDel="00000000" w:rsidR="00000000" w:rsidRPr="00000000">
        <w:rPr>
          <w:sz w:val="20"/>
          <w:szCs w:val="20"/>
          <w:rtl w:val="0"/>
        </w:rPr>
        <w:t xml:space="preserve"> za formiranje referenci. U daljem tekstu sve reči koje su između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&lt;&gt;</w:t>
      </w:r>
      <w:r w:rsidDel="00000000" w:rsidR="00000000" w:rsidRPr="00000000">
        <w:rPr>
          <w:sz w:val="20"/>
          <w:szCs w:val="20"/>
          <w:rtl w:val="0"/>
        </w:rPr>
        <w:t xml:space="preserve"> oznaka i podebljane su se menjaju za odgovarajuće dozvoljene vrednosti koje su objašnjene ispod.</w:t>
      </w:r>
    </w:p>
    <w:p w:rsidR="00000000" w:rsidDel="00000000" w:rsidP="00000000" w:rsidRDefault="00000000" w:rsidRPr="00000000" w14:paraId="00000004">
      <w:pPr>
        <w:pStyle w:val="Heading3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Nivo dela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Ukratko na ovom nivou se samo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definiše</w:t>
      </w:r>
      <w:r w:rsidDel="00000000" w:rsidR="00000000" w:rsidRPr="00000000">
        <w:rPr>
          <w:sz w:val="20"/>
          <w:szCs w:val="20"/>
          <w:rtl w:val="0"/>
        </w:rPr>
        <w:t xml:space="preserve"> o kojem resursu se radi, ne spominje se jezik niti verzija. 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Reference na ovom nivou imaju sledeći oblik:</w:t>
      </w:r>
    </w:p>
    <w:p w:rsidR="00000000" w:rsidDel="00000000" w:rsidP="00000000" w:rsidRDefault="00000000" w:rsidRPr="00000000" w14:paraId="00000007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akn/&lt;DR&gt;/&lt;TIP&gt;/&lt;</w:t>
      </w:r>
      <w:r w:rsidDel="00000000" w:rsidR="00000000" w:rsidRPr="00000000">
        <w:rPr>
          <w:b w:val="1"/>
          <w:rtl w:val="0"/>
        </w:rPr>
        <w:t xml:space="preserve">PTIP</w:t>
      </w:r>
      <w:r w:rsidDel="00000000" w:rsidR="00000000" w:rsidRPr="00000000">
        <w:rPr>
          <w:b w:val="1"/>
          <w:rtl w:val="0"/>
        </w:rPr>
        <w:t xml:space="preserve">&gt;/&lt;</w:t>
      </w:r>
      <w:r w:rsidDel="00000000" w:rsidR="00000000" w:rsidRPr="00000000">
        <w:rPr>
          <w:b w:val="1"/>
          <w:rtl w:val="0"/>
        </w:rPr>
        <w:t xml:space="preserve">DAT&gt;/&lt;BR-AK&gt;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Akn </w:t>
      </w:r>
      <w:r w:rsidDel="00000000" w:rsidR="00000000" w:rsidRPr="00000000">
        <w:rPr>
          <w:sz w:val="20"/>
          <w:szCs w:val="20"/>
          <w:rtl w:val="0"/>
        </w:rPr>
        <w:t xml:space="preserve">- Označava da se radi o Akoma Ntoso referenci.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ržava) - Odgovarajući kod države izdatog propisa prema </w:t>
      </w:r>
      <w:r w:rsidDel="00000000" w:rsidR="00000000" w:rsidRPr="00000000">
        <w:rPr>
          <w:i w:val="1"/>
          <w:sz w:val="20"/>
          <w:szCs w:val="20"/>
          <w:rtl w:val="0"/>
        </w:rPr>
        <w:t xml:space="preserve">ISO 3166-2</w:t>
      </w:r>
      <w:r w:rsidDel="00000000" w:rsidR="00000000" w:rsidRPr="00000000">
        <w:rPr>
          <w:sz w:val="20"/>
          <w:szCs w:val="20"/>
          <w:rtl w:val="0"/>
        </w:rPr>
        <w:t xml:space="preserve"> standardu (kod za Republiku Srbiju je </w:t>
      </w:r>
      <w:r w:rsidDel="00000000" w:rsidR="00000000" w:rsidRPr="00000000">
        <w:rPr>
          <w:b w:val="1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TIP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ip pravnog dokumenta) - vrednosti mogu da budu act, bill ili debate (za propise republike srbije svi su </w:t>
      </w:r>
      <w:r w:rsidDel="00000000" w:rsidR="00000000" w:rsidRPr="00000000">
        <w:rPr>
          <w:b w:val="1"/>
          <w:sz w:val="20"/>
          <w:szCs w:val="20"/>
          <w:rtl w:val="0"/>
        </w:rPr>
        <w:t xml:space="preserve">act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PTIP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odtip) - U slučaju da je poznat podtip dokumenta stavlja se ovde. Npr. vrednosti su kao što postoje tipovi dokumenata na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pravno informacionom sistemu</w:t>
        </w:r>
      </w:hyperlink>
      <w:r w:rsidDel="00000000" w:rsidR="00000000" w:rsidRPr="00000000">
        <w:rPr>
          <w:sz w:val="20"/>
          <w:szCs w:val="20"/>
          <w:rtl w:val="0"/>
        </w:rPr>
        <w:t xml:space="preserve">, u tabeli 2. su prikazane svi podtipovi i njihove oznake. Može da se izostavi i u tom slučaju se ne ostavlja prazno već nastavlja na sledeće. Odlučuje se po povećanim slovima dokumenta (npr. ZAKON, REŠENJE, itd.)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 </w:t>
      </w:r>
      <w:r w:rsidDel="00000000" w:rsidR="00000000" w:rsidRPr="00000000">
        <w:rPr>
          <w:sz w:val="20"/>
          <w:szCs w:val="20"/>
          <w:rtl w:val="0"/>
        </w:rPr>
        <w:t xml:space="preserve">(datum</w:t>
      </w:r>
      <w:r w:rsidDel="00000000" w:rsidR="00000000" w:rsidRPr="00000000">
        <w:rPr>
          <w:sz w:val="20"/>
          <w:szCs w:val="20"/>
          <w:rtl w:val="0"/>
        </w:rPr>
        <w:t xml:space="preserve">) -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Datum</w:t>
      </w:r>
      <w:r w:rsidDel="00000000" w:rsidR="00000000" w:rsidRPr="00000000">
        <w:rPr>
          <w:sz w:val="20"/>
          <w:szCs w:val="20"/>
          <w:rtl w:val="0"/>
        </w:rPr>
        <w:t xml:space="preserve"> objavljivanja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osnovnog</w:t>
      </w:r>
      <w:r w:rsidDel="00000000" w:rsidR="00000000" w:rsidRPr="00000000">
        <w:rPr>
          <w:sz w:val="20"/>
          <w:szCs w:val="20"/>
          <w:rtl w:val="0"/>
        </w:rPr>
        <w:t xml:space="preserve"> propisa u službenom listu u formatu </w:t>
      </w:r>
      <w:r w:rsidDel="00000000" w:rsidR="00000000" w:rsidRPr="00000000">
        <w:rPr>
          <w:b w:val="1"/>
          <w:sz w:val="20"/>
          <w:szCs w:val="20"/>
          <w:rtl w:val="0"/>
        </w:rPr>
        <w:t xml:space="preserve">YYYY-MM-DD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BR-AK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j</w:t>
      </w:r>
      <w:r w:rsidDel="00000000" w:rsidR="00000000" w:rsidRPr="00000000">
        <w:rPr>
          <w:sz w:val="20"/>
          <w:szCs w:val="20"/>
          <w:rtl w:val="0"/>
        </w:rPr>
        <w:t xml:space="preserve">ednistveni broj akta) - Broj akta koje je proglašen u datoj godini u ogovarajućem službenom listu označen sa BR, predstavljeno u obliku </w:t>
      </w:r>
      <w:r w:rsidDel="00000000" w:rsidR="00000000" w:rsidRPr="00000000">
        <w:rPr>
          <w:b w:val="1"/>
          <w:sz w:val="20"/>
          <w:szCs w:val="20"/>
          <w:rtl w:val="0"/>
        </w:rPr>
        <w:t xml:space="preserve">Godina službenog glasnika-Broj sluzbenog glasnika-BR. </w:t>
      </w:r>
      <w:r w:rsidDel="00000000" w:rsidR="00000000" w:rsidRPr="00000000">
        <w:rPr>
          <w:sz w:val="20"/>
          <w:szCs w:val="20"/>
          <w:rtl w:val="0"/>
        </w:rPr>
        <w:t xml:space="preserve">Odnosi se na službeni glasniku u kome se prvi put objavio propis.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 slučaju da se ne zna BR stavlja se </w:t>
      </w:r>
      <w:r w:rsidDel="00000000" w:rsidR="00000000" w:rsidRPr="00000000">
        <w:rPr>
          <w:b w:val="1"/>
          <w:sz w:val="20"/>
          <w:szCs w:val="20"/>
          <w:rtl w:val="0"/>
        </w:rPr>
        <w:t xml:space="preserve">nn</w:t>
      </w:r>
      <w:r w:rsidDel="00000000" w:rsidR="00000000" w:rsidRPr="00000000">
        <w:rPr>
          <w:sz w:val="20"/>
          <w:szCs w:val="20"/>
          <w:rtl w:val="0"/>
        </w:rPr>
        <w:t xml:space="preserve">. BR se može pronaći u službenom glasniku iznad zakona koji se spominje, uglavnom četvorocifren broj”</w:t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Primer1: “</w:t>
      </w:r>
      <w:r w:rsidDel="00000000" w:rsidR="00000000" w:rsidRPr="00000000">
        <w:rPr>
          <w:sz w:val="20"/>
          <w:szCs w:val="20"/>
          <w:rtl w:val="0"/>
        </w:rPr>
        <w:t xml:space="preserve">akn/rs/act/zakon/2013-02-06/2013-104-4477”</w:t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Primer2: “</w:t>
      </w:r>
      <w:r w:rsidDel="00000000" w:rsidR="00000000" w:rsidRPr="00000000">
        <w:rPr>
          <w:sz w:val="20"/>
          <w:szCs w:val="20"/>
          <w:rtl w:val="0"/>
        </w:rPr>
        <w:t xml:space="preserve">akn/rs/act/zakon/2013-02-06/2013-104-nn”</w:t>
      </w:r>
    </w:p>
    <w:p w:rsidR="00000000" w:rsidDel="00000000" w:rsidP="00000000" w:rsidRDefault="00000000" w:rsidRPr="00000000" w14:paraId="00000012">
      <w:pPr>
        <w:pStyle w:val="Heading3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Nivo izraza</w:t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Ovaj nivo se oslanja na prethodni. Ukratko dodaje značenje o verziji i jezičkoj verijanti (kojim jezikom je dokument napisan).</w:t>
      </w:r>
    </w:p>
    <w:p w:rsidR="00000000" w:rsidDel="00000000" w:rsidP="00000000" w:rsidRDefault="00000000" w:rsidRPr="00000000" w14:paraId="00000014">
      <w:pPr>
        <w:jc w:val="both"/>
        <w:rPr>
          <w:sz w:val="10"/>
          <w:szCs w:val="10"/>
        </w:rPr>
      </w:pPr>
      <w:r w:rsidDel="00000000" w:rsidR="00000000" w:rsidRPr="00000000">
        <w:rPr>
          <w:sz w:val="20"/>
          <w:szCs w:val="20"/>
          <w:rtl w:val="0"/>
        </w:rPr>
        <w:t xml:space="preserve">Reference na ovom nivou imaju sledeći oblik: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akn/&lt;DR&gt;/&lt;TIP&gt;/&lt;PTIP&gt;/&lt;GOD&gt;/&lt;BR-AK&gt;/&lt;JEZ&gt;@&lt;V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JEZ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jezik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Jezik kojim je propis napisan prema </w:t>
      </w:r>
      <w:r w:rsidDel="00000000" w:rsidR="00000000" w:rsidRPr="00000000">
        <w:rPr>
          <w:i w:val="1"/>
          <w:sz w:val="20"/>
          <w:szCs w:val="20"/>
          <w:rtl w:val="0"/>
        </w:rPr>
        <w:t xml:space="preserve">ISO</w:t>
      </w:r>
      <w:r w:rsidDel="00000000" w:rsidR="00000000" w:rsidRPr="00000000">
        <w:rPr>
          <w:sz w:val="20"/>
          <w:szCs w:val="20"/>
          <w:rtl w:val="0"/>
        </w:rPr>
        <w:t xml:space="preserve"> 639-2 standardu (kod za srpski jezik je </w:t>
      </w:r>
      <w:r w:rsidDel="00000000" w:rsidR="00000000" w:rsidRPr="00000000">
        <w:rPr>
          <w:b w:val="1"/>
          <w:sz w:val="20"/>
          <w:szCs w:val="20"/>
          <w:rtl w:val="0"/>
        </w:rPr>
        <w:t xml:space="preserve">srp, </w:t>
      </w:r>
      <w:r w:rsidDel="00000000" w:rsidR="00000000" w:rsidRPr="00000000">
        <w:rPr>
          <w:sz w:val="20"/>
          <w:szCs w:val="20"/>
          <w:rtl w:val="0"/>
        </w:rPr>
        <w:t xml:space="preserve">nezavisno od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ći</w:t>
      </w:r>
      <w:r w:rsidDel="00000000" w:rsidR="00000000" w:rsidRPr="00000000">
        <w:rPr>
          <w:sz w:val="20"/>
          <w:szCs w:val="20"/>
          <w:rtl w:val="0"/>
        </w:rPr>
        <w:t xml:space="preserve">rilice ili latinice). U slučaju da se ne zna stavlja se “und” (skraćeno od </w:t>
      </w:r>
      <w:r w:rsidDel="00000000" w:rsidR="00000000" w:rsidRPr="00000000">
        <w:rPr>
          <w:i w:val="1"/>
          <w:sz w:val="20"/>
          <w:szCs w:val="20"/>
          <w:rtl w:val="0"/>
        </w:rPr>
        <w:t xml:space="preserve">unidentified</w:t>
      </w:r>
      <w:r w:rsidDel="00000000" w:rsidR="00000000" w:rsidRPr="00000000">
        <w:rPr>
          <w:sz w:val="20"/>
          <w:szCs w:val="20"/>
          <w:rtl w:val="0"/>
        </w:rPr>
        <w:t xml:space="preserve">). </w:t>
      </w:r>
      <w:r w:rsidDel="00000000" w:rsidR="00000000" w:rsidRPr="00000000">
        <w:rPr>
          <w:b w:val="1"/>
          <w:sz w:val="20"/>
          <w:szCs w:val="20"/>
          <w:rtl w:val="0"/>
        </w:rPr>
        <w:t xml:space="preserve">Napomena:</w:t>
      </w:r>
      <w:r w:rsidDel="00000000" w:rsidR="00000000" w:rsidRPr="00000000">
        <w:rPr>
          <w:sz w:val="20"/>
          <w:szCs w:val="20"/>
          <w:rtl w:val="0"/>
        </w:rPr>
        <w:t xml:space="preserve"> posle njega sledi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obavezan znak “@” koji označava konkretnu verziju</w:t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v</w:t>
      </w:r>
      <w:r w:rsidDel="00000000" w:rsidR="00000000" w:rsidRPr="00000000">
        <w:rPr>
          <w:sz w:val="20"/>
          <w:szCs w:val="20"/>
          <w:rtl w:val="0"/>
        </w:rPr>
        <w:t xml:space="preserve">erzija) - U slučaju da se ne zna može prazno. Stavlja se datum objavljivanja propisa o izmenama i dopunama osnovnog propisa..</w:t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 verzije: “</w:t>
      </w:r>
      <w:r w:rsidDel="00000000" w:rsidR="00000000" w:rsidRPr="00000000">
        <w:rPr>
          <w:sz w:val="20"/>
          <w:szCs w:val="20"/>
          <w:rtl w:val="0"/>
        </w:rPr>
        <w:t xml:space="preserve">akn/rs/act/zakon/2013-02-06/2013-104-4477/srp@2018-05-12”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Nivo manifestacije</w:t>
      </w:r>
    </w:p>
    <w:p w:rsidR="00000000" w:rsidDel="00000000" w:rsidP="00000000" w:rsidRDefault="00000000" w:rsidRPr="00000000" w14:paraId="0000001D">
      <w:pPr>
        <w:jc w:val="both"/>
        <w:rPr>
          <w:sz w:val="10"/>
          <w:szCs w:val="10"/>
        </w:rPr>
      </w:pPr>
      <w:r w:rsidDel="00000000" w:rsidR="00000000" w:rsidRPr="00000000">
        <w:rPr>
          <w:sz w:val="20"/>
          <w:szCs w:val="20"/>
          <w:rtl w:val="0"/>
        </w:rPr>
        <w:t xml:space="preserve">Ovaj nivo se oslanja na prethodni. Ukratko dodaje značenje o kom formatu je reč i koji element se referencira.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akn/&lt;DR&gt;/&lt;TIP&gt;/&lt;GOD&gt;/&lt;BRAK&gt;/&lt;JEZ&gt;@&lt;V&gt;/&lt;DDOK&gt;&lt;EXT&gt;&lt;RDOK&gt;</w:t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DDOK </w:t>
      </w:r>
      <w:r w:rsidDel="00000000" w:rsidR="00000000" w:rsidRPr="00000000">
        <w:rPr>
          <w:sz w:val="20"/>
          <w:szCs w:val="20"/>
          <w:rtl w:val="0"/>
        </w:rPr>
        <w:t xml:space="preserve">(Deo Dokumenta) - U slučaju da postoji počinje sa karakterom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!</w:t>
      </w:r>
      <w:r w:rsidDel="00000000" w:rsidR="00000000" w:rsidRPr="00000000">
        <w:rPr>
          <w:sz w:val="20"/>
          <w:szCs w:val="20"/>
          <w:rtl w:val="0"/>
        </w:rPr>
        <w:t xml:space="preserve">” U slučaju da se odnosi na glavni deo dokumenta teksta stavlja se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”. U suprotnom, ako se odnosi na prilog/dodatke stavlja se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&lt;ime dodatka&gt;_&lt;broj&gt;</w:t>
      </w:r>
      <w:r w:rsidDel="00000000" w:rsidR="00000000" w:rsidRPr="00000000">
        <w:rPr>
          <w:sz w:val="20"/>
          <w:szCs w:val="20"/>
          <w:rtl w:val="0"/>
        </w:rPr>
        <w:t xml:space="preserve"> (npr. prilog_1). Može da se izostavi ovaj deo, odnosno onda se smatra da se odnosi na “main” i tada se znak “!” izostavlja.</w:t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 - </w:t>
      </w:r>
      <w:r w:rsidDel="00000000" w:rsidR="00000000" w:rsidRPr="00000000">
        <w:rPr>
          <w:sz w:val="20"/>
          <w:szCs w:val="20"/>
          <w:rtl w:val="0"/>
        </w:rPr>
        <w:t xml:space="preserve">Predstavlja tip dokumenta u kojem se nalazi, označava se sa tačkom i zatim imenom tipa dokumenta (npr. </w:t>
      </w:r>
      <w:r w:rsidDel="00000000" w:rsidR="00000000" w:rsidRPr="00000000">
        <w:rPr>
          <w:b w:val="1"/>
          <w:sz w:val="20"/>
          <w:szCs w:val="20"/>
          <w:rtl w:val="0"/>
        </w:rPr>
        <w:t xml:space="preserve">.pdf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.doc, .akn, .html, .xml</w:t>
      </w:r>
      <w:r w:rsidDel="00000000" w:rsidR="00000000" w:rsidRPr="00000000">
        <w:rPr>
          <w:sz w:val="20"/>
          <w:szCs w:val="20"/>
          <w:rtl w:val="0"/>
        </w:rPr>
        <w:t xml:space="preserve"> ili drugi), nije obavezan.</w:t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Primer</w:t>
      </w:r>
      <w:r w:rsidDel="00000000" w:rsidR="00000000" w:rsidRPr="00000000">
        <w:rPr>
          <w:sz w:val="20"/>
          <w:szCs w:val="20"/>
          <w:rtl w:val="0"/>
        </w:rPr>
        <w:t xml:space="preserve">:  “akn/rs/act/zakon/2013-02-06/2013-104-4477/srp@2018-05-12/!main.pdf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 2</w:t>
      </w:r>
      <w:r w:rsidDel="00000000" w:rsidR="00000000" w:rsidRPr="00000000">
        <w:rPr>
          <w:sz w:val="20"/>
          <w:szCs w:val="20"/>
          <w:rtl w:val="0"/>
        </w:rPr>
        <w:t xml:space="preserve">:  “akn/rs/act/zakon/2013-02-06/2013-104-4477/srp@2018-05-12/!main.akn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 3</w:t>
      </w:r>
      <w:r w:rsidDel="00000000" w:rsidR="00000000" w:rsidRPr="00000000">
        <w:rPr>
          <w:sz w:val="20"/>
          <w:szCs w:val="20"/>
          <w:rtl w:val="0"/>
        </w:rPr>
        <w:t xml:space="preserve">:  “akn/rs/act/zakon/2013-02-06/2013-104-4477/srp@2018-05-12/!main.html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RDOK </w:t>
      </w:r>
      <w:r w:rsidDel="00000000" w:rsidR="00000000" w:rsidRPr="00000000">
        <w:rPr>
          <w:sz w:val="20"/>
          <w:szCs w:val="20"/>
          <w:rtl w:val="0"/>
        </w:rPr>
        <w:t xml:space="preserve">(Reference dokumenta) - U slučaju da se referencira element unutar hijerarhije dokumenta, to se navodi ovde. Izgleda kao </w:t>
      </w:r>
      <w:r w:rsidDel="00000000" w:rsidR="00000000" w:rsidRPr="00000000">
        <w:rPr>
          <w:b w:val="1"/>
          <w:sz w:val="20"/>
          <w:szCs w:val="20"/>
          <w:rtl w:val="0"/>
        </w:rPr>
        <w:t xml:space="preserve">~&lt;HIR STRUKT&gt;__&lt;HIR STRUKT&gt;__...__&lt;HIR </w:t>
      </w:r>
      <w:r w:rsidDel="00000000" w:rsidR="00000000" w:rsidRPr="00000000">
        <w:rPr>
          <w:b w:val="1"/>
          <w:rtl w:val="0"/>
        </w:rPr>
        <w:t xml:space="preserve">STRUKT&gt; </w:t>
      </w:r>
      <w:r w:rsidDel="00000000" w:rsidR="00000000" w:rsidRPr="00000000">
        <w:rPr>
          <w:rtl w:val="0"/>
        </w:rPr>
        <w:t xml:space="preserve">i gde se održava odnos da je leva struktura veće u hijerarhiji u odnosu na desnu strukturu.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&lt;HIR STRUKT&gt;-  </w:t>
      </w:r>
      <w:r w:rsidDel="00000000" w:rsidR="00000000" w:rsidRPr="00000000">
        <w:rPr>
          <w:sz w:val="20"/>
          <w:szCs w:val="20"/>
          <w:rtl w:val="0"/>
        </w:rPr>
        <w:t xml:space="preserve">Predstaljeno pomoću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&lt;skraćenice elementa&gt;_&lt;broj_elementa&gt;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Specilajan slučaj: </w:t>
      </w:r>
      <w:r w:rsidDel="00000000" w:rsidR="00000000" w:rsidRPr="00000000">
        <w:rPr>
          <w:sz w:val="20"/>
          <w:szCs w:val="20"/>
          <w:rtl w:val="0"/>
        </w:rPr>
        <w:t xml:space="preserve">U slučaju da se referencira niz uzastopnih elemenata koristi se oznaka </w:t>
      </w:r>
      <w:r w:rsidDel="00000000" w:rsidR="00000000" w:rsidRPr="00000000">
        <w:rPr>
          <w:b w:val="1"/>
          <w:sz w:val="20"/>
          <w:szCs w:val="20"/>
          <w:rtl w:val="0"/>
        </w:rPr>
        <w:t xml:space="preserve">-&gt; </w:t>
      </w:r>
      <w:r w:rsidDel="00000000" w:rsidR="00000000" w:rsidRPr="00000000">
        <w:rPr>
          <w:sz w:val="20"/>
          <w:szCs w:val="20"/>
          <w:rtl w:val="0"/>
        </w:rPr>
        <w:t xml:space="preserve">koja se nalazi između dva hijerarhijska elementa istog imena a drugog broja.</w:t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Primer</w:t>
      </w:r>
      <w:r w:rsidDel="00000000" w:rsidR="00000000" w:rsidRPr="00000000">
        <w:rPr>
          <w:sz w:val="20"/>
          <w:szCs w:val="20"/>
          <w:rtl w:val="0"/>
        </w:rPr>
        <w:t xml:space="preserve">: “akn/rs/act/2018-07-04/2018-22-1733/srp@/!main~art_66__para_2__point_2”.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 specijanog slučaja:</w:t>
      </w:r>
      <w:r w:rsidDel="00000000" w:rsidR="00000000" w:rsidRPr="00000000">
        <w:rPr>
          <w:sz w:val="20"/>
          <w:szCs w:val="20"/>
          <w:rtl w:val="0"/>
        </w:rPr>
        <w:t xml:space="preserve"> “akn/rs/act/zakon/2013-02-06/2013-104-4477/srp@2018-05-12/!main.pdf~art_2-&gt;art_5”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Napomena</w:t>
      </w:r>
      <w:r w:rsidDel="00000000" w:rsidR="00000000" w:rsidRPr="00000000">
        <w:rPr>
          <w:sz w:val="20"/>
          <w:szCs w:val="20"/>
          <w:rtl w:val="0"/>
        </w:rPr>
        <w:t xml:space="preserve">: Skraćenice elemenata se mogu videti u tabeli 1.</w:t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center"/>
        <w:tblLayout w:type="fixed"/>
        <w:tblLook w:val="0600"/>
      </w:tblPr>
      <w:tblGrid>
        <w:gridCol w:w="2775"/>
        <w:gridCol w:w="4290"/>
        <w:gridCol w:w="2910"/>
        <w:tblGridChange w:id="0">
          <w:tblGrid>
            <w:gridCol w:w="2775"/>
            <w:gridCol w:w="4290"/>
            <w:gridCol w:w="2910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Naziv hijerarhije u propisu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Naziv elemenat u Akoma Ntoso standardu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Skraćenica za reference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Glava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Chapter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chp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Odeljak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Pododeljak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subsec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Član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Article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Paragraph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Tačka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Podtačka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Hcontainer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subpoint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Alinea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Alinea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line="167.99999999999997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</w:t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1</w:t>
      </w:r>
      <w:r w:rsidDel="00000000" w:rsidR="00000000" w:rsidRPr="00000000">
        <w:rPr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Izgled oznaka i skraćenica*</w:t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*Skraćenice prikazane u tabeli 1. su preuzete iz 5. poglavlja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pravilnika</w:t>
        </w:r>
      </w:hyperlink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jc w:val="cente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Primeri referenci i njihovi ekvivalenti u tekstu</w:t>
      </w:r>
    </w:p>
    <w:p w:rsidR="00000000" w:rsidDel="00000000" w:rsidP="00000000" w:rsidRDefault="00000000" w:rsidRPr="00000000" w14:paraId="0000005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osnovu ovoga, izgled reference za primer “члана 66. став 2. тачка 2) овог закона” bio bi:</w:t>
      </w:r>
    </w:p>
    <w:p w:rsidR="00000000" w:rsidDel="00000000" w:rsidP="00000000" w:rsidRDefault="00000000" w:rsidRPr="00000000" w14:paraId="0000005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“akn/rs/act/zakon/2013-02-06/2013-104-4477/srp@2018-05-12/!main~art_66__para_2__point_2”.</w:t>
      </w:r>
    </w:p>
    <w:p w:rsidR="00000000" w:rsidDel="00000000" w:rsidP="00000000" w:rsidRDefault="00000000" w:rsidRPr="00000000" w14:paraId="0000005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Ukoliko je u pitanju nabrajanje više uzastopnih članova, kao u primeru “чл. 2, 3, 4 и 5.”, izgled reference bio bi:</w:t>
      </w:r>
    </w:p>
    <w:p w:rsidR="00000000" w:rsidDel="00000000" w:rsidP="00000000" w:rsidRDefault="00000000" w:rsidRPr="00000000" w14:paraId="0000005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“akn/rs/act/zakon/2013-02-06/2013-104-4477/srp@2018-05-12/!main~art_2-&gt;art_5”</w:t>
      </w:r>
    </w:p>
    <w:p w:rsidR="00000000" w:rsidDel="00000000" w:rsidP="00000000" w:rsidRDefault="00000000" w:rsidRPr="00000000" w14:paraId="0000005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jc w:val="cente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Šabloni za automatsko prepoznavanje</w:t>
      </w:r>
    </w:p>
    <w:p w:rsidR="00000000" w:rsidDel="00000000" w:rsidP="00000000" w:rsidRDefault="00000000" w:rsidRPr="00000000" w14:paraId="0000005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Reference se pronalaze pomoću REGEX šablona. Obzirom na to da postoji više različitih načina pisanja referenci, neophodno je bilo uočiti i napraviti šablone koji će obuhvatiti sve slučajeve. Uočeni su sledeći primeri referenci u tekstu:</w:t>
      </w:r>
    </w:p>
    <w:p w:rsidR="00000000" w:rsidDel="00000000" w:rsidP="00000000" w:rsidRDefault="00000000" w:rsidRPr="00000000" w14:paraId="0000005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Службени гласник РС, број 95/2018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члана 44. овог закона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члана 66. став 2. овог закона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члана 66. став 2. тачка 2) овог закона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става 2. овог члана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става 2. тачка 2) овог  члана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чл. 2, 3, 4 и 5.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чл. 2. до 4.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 2а-2в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left"/>
        <w:tblInd w:w="0.0" w:type="dxa"/>
        <w:tblLayout w:type="fixed"/>
        <w:tblLook w:val="0600"/>
      </w:tblPr>
      <w:tblGrid>
        <w:gridCol w:w="4680"/>
        <w:gridCol w:w="4679"/>
        <w:tblGridChange w:id="0">
          <w:tblGrid>
            <w:gridCol w:w="4680"/>
            <w:gridCol w:w="467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Imena podtipa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Oznaka za podtip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Ustav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ustav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Ukaz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ukaz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Uredba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uredba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Odluka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odluka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Memorandum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memorandum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Rezolucija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rezolucija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Strategija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strategija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Rešenje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rešenje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Pravilnik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pravilnik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Podatak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podatak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indeks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Iznos, Koeficijent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iznos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Naredba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naredba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Zaključak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zakljucak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Izveštaj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izvestaj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Kodeks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kodeks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Tarifa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tarifa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Uputstvo,smernica,pravilo,preporuka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uputstvo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Kriterijum,merilo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kriterijum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Spisak,lista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spisak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Objašnjenje,mišljenje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objasnjenje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Rokovnik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rokovnik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Ugovor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ugovor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Kolektivni ugovor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kolektivni_ugovor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Ispravka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ispravka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Sporazum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sporazum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Konvencija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konvencija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Protokol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protokol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Ostalo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ostalo</w:t>
            </w:r>
          </w:p>
        </w:tc>
      </w:tr>
    </w:tbl>
    <w:p w:rsidR="00000000" w:rsidDel="00000000" w:rsidP="00000000" w:rsidRDefault="00000000" w:rsidRPr="00000000" w14:paraId="000000AC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2. Prikaz svih mogućih podtipova i njihove šifre.</w:t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asis-open.org/legaldocml/akn-nc/v1.0/os/akn-nc-v1.0-os.html#_Toc531692272" TargetMode="External"/><Relationship Id="rId7" Type="http://schemas.openxmlformats.org/officeDocument/2006/relationships/hyperlink" Target="https://www.pravno-informacioni-sistem.rs/" TargetMode="External"/><Relationship Id="rId8" Type="http://schemas.openxmlformats.org/officeDocument/2006/relationships/hyperlink" Target="https://docs.oasis-open.org/legaldocml/akn-nc/v1.0/os/akn-nc-v1.0-os.html#_Toc5316923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