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oex1vuuo9eca" w:id="0"/>
      <w:bookmarkEnd w:id="0"/>
      <w:r w:rsidDel="00000000" w:rsidR="00000000" w:rsidRPr="00000000">
        <w:rPr>
          <w:rtl w:val="0"/>
        </w:rPr>
        <w:t xml:space="preserve">Pronalaženje referenci u pravnim dokumentima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Reference se pronalaze pomoću REGEX šablona. Obzirom na to da postoji više različitih načina pisanja referenci, neophodno je bilo uočiti i napraviti šablone koji će obuhvatiti sve slučajeve. Uočeni su sledeći primeri referenci: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Службени гласник РС, број 95/2018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члана 44. овог закона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члана 66. став 2. овог закона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члана 66. став 2. тачка 2) овог закона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става 2. овог члана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става 2. тачка 2) овог  члана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чл. 2, 3, 4 и 5.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чл. 2. до 4.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чл 2а-2в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U odnosu na to koji od ovih šablona je prepoznat, formiraju se različite reference. Opšti oblik reference preuzet je iz zvaničnog Akoma Ntoso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pravilnika</w:t>
        </w:r>
      </w:hyperlink>
      <w:r w:rsidDel="00000000" w:rsidR="00000000" w:rsidRPr="00000000">
        <w:rPr>
          <w:rtl w:val="0"/>
        </w:rPr>
        <w:t xml:space="preserve"> za formiranje referenci, i izgleda: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“akn/&lt;država&gt;/act/&lt;godina publikovanja u formatu YYYY-MM-DD ili samo YYYY&gt;/&lt;broj akta u godini ili ako se ne zna "nn"&gt;/srb@/&lt;!main, !imedoc.akn ili !schedule_1.pdf (extenzija manifestacije)&gt;/art_&lt;broj člana&gt;__para_&lt;broj stava&gt;__point_&lt;broj tačke&gt;”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Na osnovu ovoga, izgled reference za primer “члана 66. став 2. тачка 2) овог закона” bio bi: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“akn/rs/act/2018/95-366/srp@/!main~art_66__para_2__point_2”.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Ukoliko je u pitanju nabrajanje više uzastopnih članova, kao u primeru “чл. 2, 3, 4 и 5.”, izgled reference bio bi: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“akn/rs/act/2018/95-366/srp@/!main~art_2-&gt;art_5”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Ukoliko je u pitanju referenca na drugi zakon, kao u primeru “Службени гласник РС, број 95/2018”, izgled reference bio bi: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“akn/rs/act/2018/95/srp@”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oasis-open.org/legaldocml/akn-nc/v1.0/os/akn-nc-v1.0-os.html#_Toc5316922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