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0F766E"/>
          <w:sz w:val="18"/>
        </w:rPr>
        <w:t>PARTNER ENABLEMENT</w:t>
      </w:r>
    </w:p>
    <w:p>
      <w:pPr>
        <w:spacing w:before="0" w:after="160"/>
      </w:pPr>
      <w:r>
        <w:rPr>
          <w:rFonts w:ascii="Calibri" w:hAnsi="Calibri"/>
          <w:b/>
          <w:i w:val="0"/>
          <w:color w:val="102A2A"/>
          <w:sz w:val="60"/>
        </w:rPr>
        <w:t>SpreadBoard Affiliate Partner Pack</w:t>
      </w:r>
    </w:p>
    <w:p>
      <w:pPr>
        <w:spacing w:before="0" w:after="360"/>
      </w:pPr>
      <w:r>
        <w:rPr>
          <w:rFonts w:ascii="Calibri" w:hAnsi="Calibri"/>
          <w:b w:val="0"/>
          <w:i w:val="0"/>
          <w:color w:val="526463"/>
          <w:sz w:val="27"/>
        </w:rPr>
        <w:t>A recurring-revenue partnership for crypto research audiences</w:t>
      </w:r>
    </w:p>
    <w:p>
      <w:pPr>
        <w:spacing w:before="0" w:after="280" w:line="300" w:lineRule="auto"/>
      </w:pPr>
      <w:r>
        <w:rPr>
          <w:rFonts w:ascii="Calibri" w:hAnsi="Calibri"/>
          <w:b w:val="0"/>
          <w:i w:val="0"/>
          <w:color w:val="102A2A"/>
          <w:sz w:val="22"/>
        </w:rPr>
        <w:t>SpreadBoard helps crypto-market participants compare live cross-venue spreads, funding carry, fair value, transfer conditions, and route history in one research workspace. Approved creators receive a personal referral link, a private tracking cabinet, and recurring commission on referred memberships.</w:t>
      </w:r>
    </w:p>
    <w:tbl>
      <w:tblPr>
        <w:tblW w:type="dxa" w:w="9360"/>
        <w:tblLayout w:type="fixed"/>
        <w:tblLook w:firstColumn="1" w:firstRow="1" w:lastColumn="0" w:lastRow="0" w:noHBand="0" w:noVBand="1" w:val="04A0"/>
        <w:jc w:val="left"/>
        <w:tblInd w:w="120" w:type="dxa"/>
      </w:tblPr>
      <w:tblGrid>
        <w:gridCol w:w="2340"/>
        <w:gridCol w:w="2340"/>
        <w:gridCol w:w="2340"/>
        <w:gridCol w:w="2340"/>
      </w:tblGrid>
      <w:tr>
        <w:tc>
          <w:tcPr>
            <w:tcW w:type="dxa" w:w="234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E8F5F2"/>
          </w:tcPr>
          <w:p>
            <w:pPr>
              <w:spacing w:after="60"/>
            </w:pPr>
            <w:r>
              <w:rPr>
                <w:rFonts w:ascii="Calibri" w:hAnsi="Calibri"/>
                <w:b/>
                <w:i w:val="0"/>
                <w:color w:val="0F766E"/>
                <w:sz w:val="16"/>
              </w:rPr>
              <w:t>VIEWER OFFER</w:t>
            </w:r>
          </w:p>
          <w:p>
            <w:pPr>
              <w:spacing w:after="40"/>
            </w:pPr>
            <w:r>
              <w:rPr>
                <w:rFonts w:ascii="Calibri" w:hAnsi="Calibri"/>
                <w:b/>
                <w:i w:val="0"/>
                <w:color w:val="102A2A"/>
                <w:sz w:val="32"/>
              </w:rPr>
              <w:t>20% off</w:t>
            </w:r>
          </w:p>
          <w:p>
            <w:pPr>
              <w:spacing w:after="0"/>
            </w:pPr>
            <w:r>
              <w:rPr>
                <w:rFonts w:ascii="Calibri" w:hAnsi="Calibri"/>
                <w:b w:val="0"/>
                <w:i w:val="0"/>
                <w:color w:val="526463"/>
                <w:sz w:val="17"/>
              </w:rPr>
              <w:t>first 30-day value</w:t>
            </w:r>
          </w:p>
        </w:tc>
        <w:tc>
          <w:tcPr>
            <w:tcW w:type="dxa" w:w="234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E8F5F2"/>
          </w:tcPr>
          <w:p>
            <w:pPr>
              <w:spacing w:after="60"/>
            </w:pPr>
            <w:r>
              <w:rPr>
                <w:rFonts w:ascii="Calibri" w:hAnsi="Calibri"/>
                <w:b/>
                <w:i w:val="0"/>
                <w:color w:val="0F766E"/>
                <w:sz w:val="16"/>
              </w:rPr>
              <w:t>PARTNER</w:t>
            </w:r>
          </w:p>
          <w:p>
            <w:pPr>
              <w:spacing w:after="40"/>
            </w:pPr>
            <w:r>
              <w:rPr>
                <w:rFonts w:ascii="Calibri" w:hAnsi="Calibri"/>
                <w:b/>
                <w:i w:val="0"/>
                <w:color w:val="102A2A"/>
                <w:sz w:val="32"/>
              </w:rPr>
              <w:t>50%</w:t>
            </w:r>
          </w:p>
          <w:p>
            <w:pPr>
              <w:spacing w:after="0"/>
            </w:pPr>
            <w:r>
              <w:rPr>
                <w:rFonts w:ascii="Calibri" w:hAnsi="Calibri"/>
                <w:b w:val="0"/>
                <w:i w:val="0"/>
                <w:color w:val="526463"/>
                <w:sz w:val="17"/>
              </w:rPr>
              <w:t>recurring commission</w:t>
            </w:r>
          </w:p>
        </w:tc>
        <w:tc>
          <w:tcPr>
            <w:tcW w:type="dxa" w:w="234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E8F5F2"/>
          </w:tcPr>
          <w:p>
            <w:pPr>
              <w:spacing w:after="60"/>
            </w:pPr>
            <w:r>
              <w:rPr>
                <w:rFonts w:ascii="Calibri" w:hAnsi="Calibri"/>
                <w:b/>
                <w:i w:val="0"/>
                <w:color w:val="0F766E"/>
                <w:sz w:val="16"/>
              </w:rPr>
              <w:t>ATTRIBUTION</w:t>
            </w:r>
          </w:p>
          <w:p>
            <w:pPr>
              <w:spacing w:after="40"/>
            </w:pPr>
            <w:r>
              <w:rPr>
                <w:rFonts w:ascii="Calibri" w:hAnsi="Calibri"/>
                <w:b/>
                <w:i w:val="0"/>
                <w:color w:val="102A2A"/>
                <w:sz w:val="32"/>
              </w:rPr>
              <w:t>90 days</w:t>
            </w:r>
          </w:p>
          <w:p>
            <w:pPr>
              <w:spacing w:after="0"/>
            </w:pPr>
            <w:r>
              <w:rPr>
                <w:rFonts w:ascii="Calibri" w:hAnsi="Calibri"/>
                <w:b w:val="0"/>
                <w:i w:val="0"/>
                <w:color w:val="526463"/>
                <w:sz w:val="17"/>
              </w:rPr>
              <w:t>then fixed at registration</w:t>
            </w:r>
          </w:p>
        </w:tc>
        <w:tc>
          <w:tcPr>
            <w:tcW w:type="dxa" w:w="234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E8F5F2"/>
          </w:tcPr>
          <w:p>
            <w:pPr>
              <w:spacing w:after="60"/>
            </w:pPr>
            <w:r>
              <w:rPr>
                <w:rFonts w:ascii="Calibri" w:hAnsi="Calibri"/>
                <w:b/>
                <w:i w:val="0"/>
                <w:color w:val="0F766E"/>
                <w:sz w:val="16"/>
              </w:rPr>
              <w:t>PAYOUT</w:t>
            </w:r>
          </w:p>
          <w:p>
            <w:pPr>
              <w:spacing w:after="40"/>
            </w:pPr>
            <w:r>
              <w:rPr>
                <w:rFonts w:ascii="Calibri" w:hAnsi="Calibri"/>
                <w:b/>
                <w:i w:val="0"/>
                <w:color w:val="102A2A"/>
                <w:sz w:val="32"/>
              </w:rPr>
              <w:t>Weekly</w:t>
            </w:r>
          </w:p>
          <w:p>
            <w:pPr>
              <w:spacing w:after="0"/>
            </w:pPr>
            <w:r>
              <w:rPr>
                <w:rFonts w:ascii="Calibri" w:hAnsi="Calibri"/>
                <w:b w:val="0"/>
                <w:i w:val="0"/>
                <w:color w:val="526463"/>
                <w:sz w:val="17"/>
              </w:rPr>
              <w:t>USDT on Arbitrum</w:t>
            </w:r>
          </w:p>
        </w:tc>
      </w:tr>
    </w:tbl>
    <w:p>
      <w:pPr>
        <w:spacing w:before="200" w:after="0"/>
      </w:pPr>
      <w:r>
        <w:rPr>
          <w:rFonts w:ascii="Calibri" w:hAnsi="Calibri"/>
          <w:b w:val="0"/>
          <w:i w:val="0"/>
          <w:color w:val="526463"/>
          <w:sz w:val="18"/>
        </w:rPr>
        <w:t>Program overview  •  10 August 2026  •  spreadarbitrage.ink</w:t>
      </w:r>
    </w:p>
    <w:p>
      <w:pPr>
        <w:pStyle w:val="Heading1"/>
        <w:keepNext/>
      </w:pPr>
      <w:r>
        <w:rPr>
          <w:rFonts w:ascii="Calibri" w:hAnsi="Calibri"/>
          <w:b/>
          <w:i w:val="0"/>
          <w:color w:val="115E59"/>
          <w:sz w:val="32"/>
        </w:rPr>
        <w:t>What the audience receives</w:t>
      </w:r>
    </w:p>
    <w:p>
      <w:pPr>
        <w:spacing w:before="0" w:after="120" w:line="300" w:lineRule="auto"/>
      </w:pPr>
      <w:r>
        <w:rPr>
          <w:rFonts w:ascii="Calibri" w:hAnsi="Calibri"/>
          <w:b w:val="0"/>
          <w:i w:val="0"/>
          <w:color w:val="102A2A"/>
          <w:sz w:val="22"/>
        </w:rPr>
        <w:t>SpreadBoard is a read-only research service built around public market data. It does not hold customer funds, connect to customer exchange accounts, or execute trades.</w:t>
      </w:r>
    </w:p>
    <w:p>
      <w:pPr>
        <w:spacing w:before="0" w:after="80" w:line="300" w:lineRule="auto"/>
        <w:numPr>
          <w:ilvl w:val="0"/>
          <w:numId w:val="10"/>
        </w:numPr>
      </w:pPr>
      <w:r>
        <w:rPr>
          <w:rFonts w:ascii="Calibri" w:hAnsi="Calibri"/>
          <w:b/>
          <w:i w:val="0"/>
          <w:color w:val="102A2A"/>
          <w:sz w:val="22"/>
        </w:rPr>
        <w:t>Live arbitrage discovery.</w:t>
      </w:r>
      <w:r>
        <w:rPr>
          <w:rFonts w:ascii="Calibri" w:hAnsi="Calibri"/>
          <w:b w:val="0"/>
          <w:i w:val="0"/>
          <w:color w:val="102A2A"/>
          <w:sz w:val="22"/>
        </w:rPr>
        <w:t xml:space="preserve"> Live cross-venue routes with market type, direction, matched depth, freshness, and transfer context.</w:t>
      </w:r>
    </w:p>
    <w:p>
      <w:pPr>
        <w:spacing w:before="0" w:after="80" w:line="300" w:lineRule="auto"/>
        <w:numPr>
          <w:ilvl w:val="0"/>
          <w:numId w:val="10"/>
        </w:numPr>
      </w:pPr>
      <w:r>
        <w:rPr>
          <w:rFonts w:ascii="Calibri" w:hAnsi="Calibri"/>
          <w:b/>
          <w:i w:val="0"/>
          <w:color w:val="102A2A"/>
          <w:sz w:val="22"/>
        </w:rPr>
        <w:t>Funding research.</w:t>
      </w:r>
      <w:r>
        <w:rPr>
          <w:rFonts w:ascii="Calibri" w:hAnsi="Calibri"/>
          <w:b w:val="0"/>
          <w:i w:val="0"/>
          <w:color w:val="102A2A"/>
          <w:sz w:val="22"/>
        </w:rPr>
        <w:t xml:space="preserve"> Normalized carry comparisons, settled and projected funding context, and multi-period history.</w:t>
      </w:r>
    </w:p>
    <w:p>
      <w:pPr>
        <w:spacing w:before="0" w:after="80" w:line="300" w:lineRule="auto"/>
        <w:numPr>
          <w:ilvl w:val="0"/>
          <w:numId w:val="10"/>
        </w:numPr>
      </w:pPr>
      <w:r>
        <w:rPr>
          <w:rFonts w:ascii="Calibri" w:hAnsi="Calibri"/>
          <w:b/>
          <w:i w:val="0"/>
          <w:color w:val="102A2A"/>
          <w:sz w:val="22"/>
        </w:rPr>
        <w:t>Evidence workspace.</w:t>
      </w:r>
      <w:r>
        <w:rPr>
          <w:rFonts w:ascii="Calibri" w:hAnsi="Calibri"/>
          <w:b w:val="0"/>
          <w:i w:val="0"/>
          <w:color w:val="102A2A"/>
          <w:sz w:val="22"/>
        </w:rPr>
        <w:t xml:space="preserve"> Custom spread charts, fair-price views, market events, watchlists, alerts, and position journaling.</w:t>
      </w:r>
    </w:p>
    <w:p>
      <w:pPr>
        <w:spacing w:before="0" w:after="80" w:line="300" w:lineRule="auto"/>
        <w:numPr>
          <w:ilvl w:val="0"/>
          <w:numId w:val="10"/>
        </w:numPr>
      </w:pPr>
      <w:r>
        <w:rPr>
          <w:rFonts w:ascii="Calibri" w:hAnsi="Calibri"/>
          <w:b/>
          <w:i w:val="0"/>
          <w:color w:val="102A2A"/>
          <w:sz w:val="22"/>
        </w:rPr>
        <w:t>Two membership choices.</w:t>
      </w:r>
      <w:r>
        <w:rPr>
          <w:rFonts w:ascii="Calibri" w:hAnsi="Calibri"/>
          <w:b w:val="0"/>
          <w:i w:val="0"/>
          <w:color w:val="102A2A"/>
          <w:sz w:val="22"/>
        </w:rPr>
        <w:t xml:space="preserve"> Scanner for live discovery; Research Pro for the full research workspace and private Telegram forum.</w:t>
      </w:r>
    </w:p>
    <w:p>
      <w:pPr>
        <w:spacing w:before="0" w:after="120" w:line="300" w:lineRule="auto"/>
      </w:pPr>
      <w:r>
        <w:rPr>
          <w:rFonts w:ascii="Calibri" w:hAnsi="Calibri"/>
          <w:b w:val="0"/>
          <w:i/>
          <w:color w:val="102A2A"/>
          <w:sz w:val="22"/>
        </w:rPr>
        <w:t>The product is intended for users who understand that spreads can close before entry, funding can reverse, liquidity can disappear, transfers can be restricted, and market data may be delayed or unavailable. It is research data, not investment advice and not a promise of profit.</w:t>
      </w:r>
    </w:p>
    <w:p>
      <w:pPr>
        <w:pStyle w:val="Heading1"/>
        <w:keepNext/>
      </w:pPr>
      <w:r>
        <w:rPr>
          <w:rFonts w:ascii="Calibri" w:hAnsi="Calibri"/>
          <w:b/>
          <w:i w:val="0"/>
          <w:color w:val="115E59"/>
          <w:sz w:val="32"/>
        </w:rPr>
        <w:t>How the partnership works</w:t>
      </w:r>
    </w:p>
    <w:p>
      <w:pPr>
        <w:spacing w:before="0" w:after="80" w:line="300" w:lineRule="auto"/>
        <w:numPr>
          <w:ilvl w:val="0"/>
          <w:numId w:val="11"/>
        </w:numPr>
      </w:pPr>
      <w:r>
        <w:rPr>
          <w:rFonts w:ascii="Calibri" w:hAnsi="Calibri"/>
          <w:b/>
          <w:i w:val="0"/>
          <w:color w:val="102A2A"/>
          <w:sz w:val="22"/>
        </w:rPr>
        <w:t>Cabinet setup.</w:t>
      </w:r>
      <w:r>
        <w:rPr>
          <w:rFonts w:ascii="Calibri" w:hAnsi="Calibri"/>
          <w:b w:val="0"/>
          <w:i w:val="0"/>
          <w:color w:val="102A2A"/>
          <w:sz w:val="22"/>
        </w:rPr>
        <w:t xml:space="preserve"> SpreadBoard creates the partner account and generates a readable referral link from the channel name. The link label does not affect attribution or commission.</w:t>
      </w:r>
    </w:p>
    <w:p>
      <w:pPr>
        <w:spacing w:before="0" w:after="80" w:line="300" w:lineRule="auto"/>
        <w:numPr>
          <w:ilvl w:val="0"/>
          <w:numId w:val="11"/>
        </w:numPr>
      </w:pPr>
      <w:r>
        <w:rPr>
          <w:rFonts w:ascii="Calibri" w:hAnsi="Calibri"/>
          <w:b/>
          <w:i w:val="0"/>
          <w:color w:val="102A2A"/>
          <w:sz w:val="22"/>
        </w:rPr>
        <w:t>Audience click.</w:t>
      </w:r>
      <w:r>
        <w:rPr>
          <w:rFonts w:ascii="Calibri" w:hAnsi="Calibri"/>
          <w:b w:val="0"/>
          <w:i w:val="0"/>
          <w:color w:val="102A2A"/>
          <w:sz w:val="22"/>
        </w:rPr>
        <w:t xml:space="preserve"> A qualifying click is remembered for up to 90 days.</w:t>
      </w:r>
    </w:p>
    <w:p>
      <w:pPr>
        <w:spacing w:before="0" w:after="80" w:line="300" w:lineRule="auto"/>
        <w:numPr>
          <w:ilvl w:val="0"/>
          <w:numId w:val="11"/>
        </w:numPr>
      </w:pPr>
      <w:r>
        <w:rPr>
          <w:rFonts w:ascii="Calibri" w:hAnsi="Calibri"/>
          <w:b/>
          <w:i w:val="0"/>
          <w:color w:val="102A2A"/>
          <w:sz w:val="22"/>
        </w:rPr>
        <w:t>Registration.</w:t>
      </w:r>
      <w:r>
        <w:rPr>
          <w:rFonts w:ascii="Calibri" w:hAnsi="Calibri"/>
          <w:b w:val="0"/>
          <w:i w:val="0"/>
          <w:color w:val="102A2A"/>
          <w:sz w:val="22"/>
        </w:rPr>
        <w:t xml:space="preserve"> The first qualifying referral is fixed when the user registers, preserving future renewal attribution.</w:t>
      </w:r>
    </w:p>
    <w:p>
      <w:pPr>
        <w:spacing w:before="0" w:after="80" w:line="300" w:lineRule="auto"/>
        <w:numPr>
          <w:ilvl w:val="0"/>
          <w:numId w:val="11"/>
        </w:numPr>
      </w:pPr>
      <w:r>
        <w:rPr>
          <w:rFonts w:ascii="Calibri" w:hAnsi="Calibri"/>
          <w:b/>
          <w:i w:val="0"/>
          <w:color w:val="102A2A"/>
          <w:sz w:val="22"/>
        </w:rPr>
        <w:t>First purchase.</w:t>
      </w:r>
      <w:r>
        <w:rPr>
          <w:rFonts w:ascii="Calibri" w:hAnsi="Calibri"/>
          <w:b w:val="0"/>
          <w:i w:val="0"/>
          <w:color w:val="102A2A"/>
          <w:sz w:val="22"/>
        </w:rPr>
        <w:t xml:space="preserve"> The customer receives 20% off one 30-day membership value. A longer first term receives the same one-month discount once.</w:t>
      </w:r>
    </w:p>
    <w:p>
      <w:pPr>
        <w:spacing w:before="0" w:after="80" w:line="300" w:lineRule="auto"/>
        <w:numPr>
          <w:ilvl w:val="0"/>
          <w:numId w:val="11"/>
        </w:numPr>
      </w:pPr>
      <w:r>
        <w:rPr>
          <w:rFonts w:ascii="Calibri" w:hAnsi="Calibri"/>
          <w:b/>
          <w:i w:val="0"/>
          <w:color w:val="102A2A"/>
          <w:sz w:val="22"/>
        </w:rPr>
        <w:t>Commission.</w:t>
      </w:r>
      <w:r>
        <w:rPr>
          <w:rFonts w:ascii="Calibri" w:hAnsi="Calibri"/>
          <w:b w:val="0"/>
          <w:i w:val="0"/>
          <w:color w:val="102A2A"/>
          <w:sz w:val="22"/>
        </w:rPr>
        <w:t xml:space="preserve"> Each confirmed crypto invoice creates commission equal to 50% of settled plan revenue after the discount. Invoice-identification cents, refunds, reversals, fraud, and duplicate or self-referred accounts are excluded.</w:t>
      </w:r>
    </w:p>
    <w:p>
      <w:pPr>
        <w:spacing w:before="0" w:after="80" w:line="300" w:lineRule="auto"/>
        <w:numPr>
          <w:ilvl w:val="0"/>
          <w:numId w:val="11"/>
        </w:numPr>
      </w:pPr>
      <w:r>
        <w:rPr>
          <w:rFonts w:ascii="Calibri" w:hAnsi="Calibri"/>
          <w:b/>
          <w:i w:val="0"/>
          <w:color w:val="102A2A"/>
          <w:sz w:val="22"/>
        </w:rPr>
        <w:t>Weekly payout.</w:t>
      </w:r>
      <w:r>
        <w:rPr>
          <w:rFonts w:ascii="Calibri" w:hAnsi="Calibri"/>
          <w:b w:val="0"/>
          <w:i w:val="0"/>
          <w:color w:val="102A2A"/>
          <w:sz w:val="22"/>
        </w:rPr>
        <w:t xml:space="preserve"> Commission is held for seven days, then included in the next manual payout batch and sent in USDT on Arbitrum. The transaction reference remains in the cabinet.</w:t>
      </w:r>
    </w:p>
    <w:p>
      <w:pPr>
        <w:pStyle w:val="Heading1"/>
        <w:keepNext/>
      </w:pPr>
      <w:r>
        <w:rPr>
          <w:rFonts w:ascii="Calibri" w:hAnsi="Calibri"/>
          <w:b/>
          <w:i w:val="0"/>
          <w:color w:val="115E59"/>
          <w:sz w:val="32"/>
        </w:rPr>
        <w:t>Illustrative 30-day economics</w:t>
      </w:r>
    </w:p>
    <w:tbl>
      <w:tblPr>
        <w:tblW w:type="dxa" w:w="9360"/>
        <w:tblLayout w:type="fixed"/>
        <w:tblLook w:firstColumn="1" w:firstRow="1" w:lastColumn="0" w:lastRow="0" w:noHBand="0" w:noVBand="1" w:val="04A0"/>
        <w:jc w:val="left"/>
        <w:tblInd w:w="120" w:type="dxa"/>
      </w:tblPr>
      <w:tblGrid>
        <w:gridCol w:w="1740"/>
        <w:gridCol w:w="1300"/>
        <w:gridCol w:w="2240"/>
        <w:gridCol w:w="1880"/>
        <w:gridCol w:w="2200"/>
      </w:tblGrid>
      <w:tr>
        <w:tc>
          <w:tcPr>
            <w:tcW w:type="dxa" w:w="174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D5EFE9"/>
          </w:tcPr>
          <w:p>
            <w:pPr>
              <w:spacing w:before="0" w:after="0" w:line="276" w:lineRule="auto"/>
            </w:pPr>
            <w:r>
              <w:rPr>
                <w:rFonts w:ascii="Calibri" w:hAnsi="Calibri"/>
                <w:b/>
                <w:i w:val="0"/>
                <w:color w:val="115E59"/>
                <w:sz w:val="18"/>
              </w:rPr>
              <w:t>Membership</w:t>
            </w:r>
          </w:p>
        </w:tc>
        <w:tc>
          <w:tcPr>
            <w:tcW w:type="dxa" w:w="130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D5EFE9"/>
          </w:tcPr>
          <w:p>
            <w:pPr>
              <w:spacing w:before="0" w:after="0" w:line="276" w:lineRule="auto"/>
            </w:pPr>
            <w:r>
              <w:rPr>
                <w:rFonts w:ascii="Calibri" w:hAnsi="Calibri"/>
                <w:b/>
                <w:i w:val="0"/>
                <w:color w:val="115E59"/>
                <w:sz w:val="18"/>
              </w:rPr>
              <w:t>List price</w:t>
            </w:r>
          </w:p>
        </w:tc>
        <w:tc>
          <w:tcPr>
            <w:tcW w:type="dxa" w:w="224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D5EFE9"/>
          </w:tcPr>
          <w:p>
            <w:pPr>
              <w:spacing w:before="0" w:after="0" w:line="276" w:lineRule="auto"/>
            </w:pPr>
            <w:r>
              <w:rPr>
                <w:rFonts w:ascii="Calibri" w:hAnsi="Calibri"/>
                <w:b/>
                <w:i w:val="0"/>
                <w:color w:val="115E59"/>
                <w:sz w:val="18"/>
              </w:rPr>
              <w:t>Customer first 30 days</w:t>
            </w:r>
          </w:p>
        </w:tc>
        <w:tc>
          <w:tcPr>
            <w:tcW w:type="dxa" w:w="188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D5EFE9"/>
          </w:tcPr>
          <w:p>
            <w:pPr>
              <w:spacing w:before="0" w:after="0" w:line="276" w:lineRule="auto"/>
            </w:pPr>
            <w:r>
              <w:rPr>
                <w:rFonts w:ascii="Calibri" w:hAnsi="Calibri"/>
                <w:b/>
                <w:i w:val="0"/>
                <w:color w:val="115E59"/>
                <w:sz w:val="18"/>
              </w:rPr>
              <w:t>First commission</w:t>
            </w:r>
          </w:p>
        </w:tc>
        <w:tc>
          <w:tcPr>
            <w:tcW w:type="dxa" w:w="220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D5EFE9"/>
          </w:tcPr>
          <w:p>
            <w:pPr>
              <w:spacing w:before="0" w:after="0" w:line="276" w:lineRule="auto"/>
            </w:pPr>
            <w:r>
              <w:rPr>
                <w:rFonts w:ascii="Calibri" w:hAnsi="Calibri"/>
                <w:b/>
                <w:i w:val="0"/>
                <w:color w:val="115E59"/>
                <w:sz w:val="18"/>
              </w:rPr>
              <w:t>Later 30-day commission</w:t>
            </w:r>
          </w:p>
        </w:tc>
      </w:tr>
      <w:tr>
        <w:tc>
          <w:tcPr>
            <w:tcW w:type="dxa" w:w="174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left"/>
            </w:pPr>
            <w:r>
              <w:rPr>
                <w:rFonts w:ascii="Calibri" w:hAnsi="Calibri"/>
                <w:b w:val="0"/>
                <w:i w:val="0"/>
                <w:color w:val="102A2A"/>
                <w:sz w:val="18"/>
              </w:rPr>
              <w:t>Scanner</w:t>
            </w:r>
          </w:p>
        </w:tc>
        <w:tc>
          <w:tcPr>
            <w:tcW w:type="dxa" w:w="130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$49.00</w:t>
            </w:r>
          </w:p>
        </w:tc>
        <w:tc>
          <w:tcPr>
            <w:tcW w:type="dxa" w:w="224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$39.20</w:t>
            </w:r>
          </w:p>
        </w:tc>
        <w:tc>
          <w:tcPr>
            <w:tcW w:type="dxa" w:w="188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$19.60</w:t>
            </w:r>
          </w:p>
        </w:tc>
        <w:tc>
          <w:tcPr>
            <w:tcW w:type="dxa" w:w="220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$24.50</w:t>
            </w:r>
          </w:p>
        </w:tc>
      </w:tr>
      <w:tr>
        <w:tc>
          <w:tcPr>
            <w:tcW w:type="dxa" w:w="174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left"/>
            </w:pPr>
            <w:r>
              <w:rPr>
                <w:rFonts w:ascii="Calibri" w:hAnsi="Calibri"/>
                <w:b w:val="0"/>
                <w:i w:val="0"/>
                <w:color w:val="102A2A"/>
                <w:sz w:val="18"/>
              </w:rPr>
              <w:t>Research Pro</w:t>
            </w:r>
          </w:p>
        </w:tc>
        <w:tc>
          <w:tcPr>
            <w:tcW w:type="dxa" w:w="130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$149.00</w:t>
            </w:r>
          </w:p>
        </w:tc>
        <w:tc>
          <w:tcPr>
            <w:tcW w:type="dxa" w:w="224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$119.20</w:t>
            </w:r>
          </w:p>
        </w:tc>
        <w:tc>
          <w:tcPr>
            <w:tcW w:type="dxa" w:w="188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$59.60</w:t>
            </w:r>
          </w:p>
        </w:tc>
        <w:tc>
          <w:tcPr>
            <w:tcW w:type="dxa" w:w="2200"/>
            <w:shd w:fill="FFFFFF"/>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tcPr>
          <w:p>
            <w:pPr>
              <w:spacing w:before="0" w:after="0" w:line="276" w:lineRule="auto"/>
              <w:jc w:val="right"/>
            </w:pPr>
            <w:r>
              <w:rPr>
                <w:rFonts w:ascii="Calibri" w:hAnsi="Calibri"/>
                <w:b w:val="0"/>
                <w:i w:val="0"/>
                <w:color w:val="102A2A"/>
                <w:sz w:val="18"/>
              </w:rPr>
              <w:t>$74.50</w:t>
            </w:r>
          </w:p>
        </w:tc>
      </w:tr>
    </w:tbl>
    <w:p>
      <w:pPr>
        <w:spacing w:before="80" w:after="80"/>
      </w:pPr>
    </w:p>
    <w:p>
      <w:pPr>
        <w:spacing w:before="0" w:after="120" w:line="300" w:lineRule="auto"/>
      </w:pPr>
      <w:r>
        <w:rPr>
          <w:rFonts w:ascii="Calibri" w:hAnsi="Calibri"/>
          <w:b w:val="0"/>
          <w:i/>
          <w:color w:val="102A2A"/>
          <w:sz w:val="22"/>
        </w:rPr>
        <w:t>Examples assume a confirmed 30-day invoice and no refund, reversal, tax, or adjustment. For a 90- or 365-day first invoice, only one 30-day membership value receives the 20% discount; commission is then 50% of the remaining settled plan revenue.</w:t>
      </w:r>
    </w:p>
    <w:p>
      <w:r>
        <w:br w:type="page"/>
      </w:r>
    </w:p>
    <w:p>
      <w:pPr>
        <w:pStyle w:val="Heading1"/>
        <w:keepNext/>
      </w:pPr>
      <w:r>
        <w:rPr>
          <w:rFonts w:ascii="Calibri" w:hAnsi="Calibri"/>
          <w:b/>
          <w:i w:val="0"/>
          <w:color w:val="115E59"/>
          <w:sz w:val="32"/>
        </w:rPr>
        <w:t>What the partner cabinet shows</w:t>
      </w:r>
    </w:p>
    <w:p>
      <w:pPr>
        <w:spacing w:before="0" w:after="80" w:line="300" w:lineRule="auto"/>
        <w:numPr>
          <w:ilvl w:val="0"/>
          <w:numId w:val="10"/>
        </w:numPr>
      </w:pPr>
      <w:r>
        <w:rPr>
          <w:rFonts w:ascii="Calibri" w:hAnsi="Calibri"/>
          <w:b w:val="0"/>
          <w:i w:val="0"/>
          <w:color w:val="102A2A"/>
          <w:sz w:val="22"/>
        </w:rPr>
        <w:t>Personal referral link and copy button</w:t>
      </w:r>
    </w:p>
    <w:p>
      <w:pPr>
        <w:spacing w:before="0" w:after="80" w:line="300" w:lineRule="auto"/>
        <w:numPr>
          <w:ilvl w:val="0"/>
          <w:numId w:val="10"/>
        </w:numPr>
      </w:pPr>
      <w:r>
        <w:rPr>
          <w:rFonts w:ascii="Calibri" w:hAnsi="Calibri"/>
          <w:b w:val="0"/>
          <w:i w:val="0"/>
          <w:color w:val="102A2A"/>
          <w:sz w:val="22"/>
        </w:rPr>
        <w:t>Qualifying link visits and attributed registrations</w:t>
      </w:r>
    </w:p>
    <w:p>
      <w:pPr>
        <w:spacing w:before="0" w:after="80" w:line="300" w:lineRule="auto"/>
        <w:numPr>
          <w:ilvl w:val="0"/>
          <w:numId w:val="10"/>
        </w:numPr>
      </w:pPr>
      <w:r>
        <w:rPr>
          <w:rFonts w:ascii="Calibri" w:hAnsi="Calibri"/>
          <w:b w:val="0"/>
          <w:i w:val="0"/>
          <w:color w:val="102A2A"/>
          <w:sz w:val="22"/>
        </w:rPr>
        <w:t>Paying-customer count</w:t>
      </w:r>
    </w:p>
    <w:p>
      <w:pPr>
        <w:spacing w:before="0" w:after="80" w:line="300" w:lineRule="auto"/>
        <w:numPr>
          <w:ilvl w:val="0"/>
          <w:numId w:val="10"/>
        </w:numPr>
      </w:pPr>
      <w:r>
        <w:rPr>
          <w:rFonts w:ascii="Calibri" w:hAnsi="Calibri"/>
          <w:b w:val="0"/>
          <w:i w:val="0"/>
          <w:color w:val="102A2A"/>
          <w:sz w:val="22"/>
        </w:rPr>
        <w:t>Membership tier and term for each settled invoice</w:t>
      </w:r>
    </w:p>
    <w:p>
      <w:pPr>
        <w:spacing w:before="0" w:after="80" w:line="300" w:lineRule="auto"/>
        <w:numPr>
          <w:ilvl w:val="0"/>
          <w:numId w:val="10"/>
        </w:numPr>
      </w:pPr>
      <w:r>
        <w:rPr>
          <w:rFonts w:ascii="Calibri" w:hAnsi="Calibri"/>
          <w:b w:val="0"/>
          <w:i w:val="0"/>
          <w:color w:val="102A2A"/>
          <w:sz w:val="22"/>
        </w:rPr>
        <w:t>Net settled subscription revenue and the partner's 50% commission</w:t>
      </w:r>
    </w:p>
    <w:p>
      <w:pPr>
        <w:spacing w:before="0" w:after="80" w:line="300" w:lineRule="auto"/>
        <w:numPr>
          <w:ilvl w:val="0"/>
          <w:numId w:val="10"/>
        </w:numPr>
      </w:pPr>
      <w:r>
        <w:rPr>
          <w:rFonts w:ascii="Calibri" w:hAnsi="Calibri"/>
          <w:b w:val="0"/>
          <w:i w:val="0"/>
          <w:color w:val="102A2A"/>
          <w:sz w:val="22"/>
        </w:rPr>
        <w:t>Commission status: on hold, payable, in a batch, paid, or void with a reason</w:t>
      </w:r>
    </w:p>
    <w:p>
      <w:pPr>
        <w:spacing w:before="0" w:after="80" w:line="300" w:lineRule="auto"/>
        <w:numPr>
          <w:ilvl w:val="0"/>
          <w:numId w:val="10"/>
        </w:numPr>
      </w:pPr>
      <w:r>
        <w:rPr>
          <w:rFonts w:ascii="Calibri" w:hAnsi="Calibri"/>
          <w:b w:val="0"/>
          <w:i w:val="0"/>
          <w:color w:val="102A2A"/>
          <w:sz w:val="22"/>
        </w:rPr>
        <w:t>Payable balance, paid-to-date total, and payout-batch history</w:t>
      </w:r>
    </w:p>
    <w:p>
      <w:pPr>
        <w:spacing w:before="0" w:after="80" w:line="300" w:lineRule="auto"/>
        <w:numPr>
          <w:ilvl w:val="0"/>
          <w:numId w:val="10"/>
        </w:numPr>
      </w:pPr>
      <w:r>
        <w:rPr>
          <w:rFonts w:ascii="Calibri" w:hAnsi="Calibri"/>
          <w:b w:val="0"/>
          <w:i w:val="0"/>
          <w:color w:val="102A2A"/>
          <w:sz w:val="22"/>
        </w:rPr>
        <w:t>Saved USDT-on-Arbitrum payout destination and payment reference</w:t>
      </w:r>
    </w:p>
    <w:p>
      <w:pPr>
        <w:spacing w:before="0" w:after="120" w:line="300" w:lineRule="auto"/>
      </w:pPr>
      <w:r>
        <w:rPr>
          <w:rFonts w:ascii="Calibri" w:hAnsi="Calibri"/>
          <w:b w:val="0"/>
          <w:i/>
          <w:color w:val="102A2A"/>
          <w:sz w:val="22"/>
        </w:rPr>
        <w:t>Partners do not receive customer passwords, wallet credentials, exchange credentials, or customer email addresses.</w:t>
      </w:r>
    </w:p>
    <w:p>
      <w:pPr>
        <w:pStyle w:val="Heading1"/>
        <w:keepNext/>
      </w:pPr>
      <w:r>
        <w:rPr>
          <w:rFonts w:ascii="Calibri" w:hAnsi="Calibri"/>
          <w:b/>
          <w:i w:val="0"/>
          <w:color w:val="115E59"/>
          <w:sz w:val="32"/>
        </w:rPr>
        <w:t>Clear, compliant promotion</w:t>
      </w:r>
    </w:p>
    <w:p>
      <w:pPr>
        <w:spacing w:before="0" w:after="120" w:line="300" w:lineRule="auto"/>
      </w:pPr>
      <w:r>
        <w:rPr>
          <w:rFonts w:ascii="Calibri" w:hAnsi="Calibri"/>
          <w:b w:val="0"/>
          <w:i w:val="0"/>
          <w:color w:val="102A2A"/>
          <w:sz w:val="22"/>
        </w:rPr>
        <w:t>Creators should explain what they actually reviewed and distinguish the research product from trading execution. Every promotion must disclose the paid affiliate relationship clearly and conspicuously.</w:t>
      </w:r>
    </w:p>
    <w:p>
      <w:pPr>
        <w:pStyle w:val="Heading2"/>
        <w:keepNext/>
      </w:pPr>
      <w:r>
        <w:rPr>
          <w:rFonts w:ascii="Calibri" w:hAnsi="Calibri"/>
          <w:b/>
          <w:i w:val="0"/>
          <w:color w:val="0F766E"/>
          <w:sz w:val="26"/>
        </w:rPr>
        <w:t>Required disclosure for YouTube</w:t>
      </w:r>
    </w:p>
    <w:p>
      <w:pPr>
        <w:spacing w:before="0" w:after="120" w:line="300" w:lineRule="auto"/>
      </w:pPr>
      <w:r>
        <w:rPr>
          <w:rFonts w:ascii="Calibri" w:hAnsi="Calibri"/>
          <w:b w:val="0"/>
          <w:i w:val="0"/>
          <w:color w:val="102A2A"/>
          <w:sz w:val="22"/>
        </w:rPr>
        <w:t>Say and show near the start of the promotion, and repeat immediately before the link in the description: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E8F5F2"/>
          </w:tcPr>
          <w:p>
            <w:pPr>
              <w:spacing w:before="0" w:after="0" w:line="276" w:lineRule="auto"/>
            </w:pPr>
            <w:r>
              <w:rPr>
                <w:rFonts w:ascii="Calibri" w:hAnsi="Calibri"/>
                <w:b/>
                <w:i w:val="0"/>
                <w:color w:val="115E59"/>
                <w:sz w:val="22"/>
              </w:rPr>
              <w:t>AD — paid affiliate promotion. I receive a commission if you subscribe through this link.</w:t>
            </w:r>
          </w:p>
        </w:tc>
      </w:tr>
    </w:tbl>
    <w:p>
      <w:pPr>
        <w:spacing w:before="80" w:after="80"/>
      </w:pPr>
      <w:r>
        <w:rPr>
          <w:rFonts w:ascii="Calibri" w:hAnsi="Calibri"/>
          <w:b w:val="0"/>
          <w:i/>
          <w:color w:val="526463"/>
          <w:sz w:val="19"/>
        </w:rPr>
        <w:t>Using YouTube's paid-promotion tool is encouraged, but does not replace the spoken, on-screen, and description disclosure above.</w:t>
      </w:r>
    </w:p>
    <w:p>
      <w:pPr>
        <w:pStyle w:val="Heading2"/>
        <w:keepNext/>
      </w:pPr>
      <w:r>
        <w:rPr>
          <w:rFonts w:ascii="Calibri" w:hAnsi="Calibri"/>
          <w:b/>
          <w:i w:val="0"/>
          <w:color w:val="0F766E"/>
          <w:sz w:val="26"/>
        </w:rPr>
        <w:t>Good content angles</w:t>
      </w:r>
    </w:p>
    <w:p>
      <w:pPr>
        <w:spacing w:before="0" w:after="80" w:line="300" w:lineRule="auto"/>
        <w:numPr>
          <w:ilvl w:val="0"/>
          <w:numId w:val="10"/>
        </w:numPr>
      </w:pPr>
      <w:r>
        <w:rPr>
          <w:rFonts w:ascii="Calibri" w:hAnsi="Calibri"/>
          <w:b w:val="0"/>
          <w:i w:val="0"/>
          <w:color w:val="102A2A"/>
          <w:sz w:val="22"/>
        </w:rPr>
        <w:t>Demonstrate how you verify a spread rather than quoting a headline number.</w:t>
      </w:r>
    </w:p>
    <w:p>
      <w:pPr>
        <w:spacing w:before="0" w:after="80" w:line="300" w:lineRule="auto"/>
        <w:numPr>
          <w:ilvl w:val="0"/>
          <w:numId w:val="10"/>
        </w:numPr>
      </w:pPr>
      <w:r>
        <w:rPr>
          <w:rFonts w:ascii="Calibri" w:hAnsi="Calibri"/>
          <w:b w:val="0"/>
          <w:i w:val="0"/>
          <w:color w:val="102A2A"/>
          <w:sz w:val="22"/>
        </w:rPr>
        <w:t>Compare funding carry across venues and discuss reversal risk.</w:t>
      </w:r>
    </w:p>
    <w:p>
      <w:pPr>
        <w:spacing w:before="0" w:after="80" w:line="300" w:lineRule="auto"/>
        <w:numPr>
          <w:ilvl w:val="0"/>
          <w:numId w:val="10"/>
        </w:numPr>
      </w:pPr>
      <w:r>
        <w:rPr>
          <w:rFonts w:ascii="Calibri" w:hAnsi="Calibri"/>
          <w:b w:val="0"/>
          <w:i w:val="0"/>
          <w:color w:val="102A2A"/>
          <w:sz w:val="22"/>
        </w:rPr>
        <w:t>Show the evidence behind a route: market type, direction, depth, freshness, transfer status, and history.</w:t>
      </w:r>
    </w:p>
    <w:p>
      <w:pPr>
        <w:spacing w:before="0" w:after="80" w:line="300" w:lineRule="auto"/>
        <w:numPr>
          <w:ilvl w:val="0"/>
          <w:numId w:val="10"/>
        </w:numPr>
      </w:pPr>
      <w:r>
        <w:rPr>
          <w:rFonts w:ascii="Calibri" w:hAnsi="Calibri"/>
          <w:b w:val="0"/>
          <w:i w:val="0"/>
          <w:color w:val="102A2A"/>
          <w:sz w:val="22"/>
        </w:rPr>
        <w:t>Explain which membership tier suits a research-only user.</w:t>
      </w:r>
    </w:p>
    <w:p>
      <w:pPr>
        <w:spacing w:before="0" w:after="80" w:line="300" w:lineRule="auto"/>
        <w:numPr>
          <w:ilvl w:val="0"/>
          <w:numId w:val="10"/>
        </w:numPr>
      </w:pPr>
      <w:r>
        <w:rPr>
          <w:rFonts w:ascii="Calibri" w:hAnsi="Calibri"/>
          <w:b w:val="0"/>
          <w:i w:val="0"/>
          <w:color w:val="102A2A"/>
          <w:sz w:val="22"/>
        </w:rPr>
        <w:t>State that viewers must do their own research and manage their own execution and risk.</w:t>
      </w:r>
    </w:p>
    <w:p>
      <w:pPr>
        <w:pStyle w:val="Heading2"/>
        <w:keepNext/>
      </w:pPr>
      <w:r>
        <w:rPr>
          <w:rFonts w:ascii="Calibri" w:hAnsi="Calibri"/>
          <w:b/>
          <w:i w:val="0"/>
          <w:color w:val="0F766E"/>
          <w:sz w:val="26"/>
        </w:rPr>
        <w:t>Claims that are not permitted</w:t>
      </w:r>
    </w:p>
    <w:p>
      <w:pPr>
        <w:spacing w:before="0" w:after="80" w:line="300" w:lineRule="auto"/>
        <w:numPr>
          <w:ilvl w:val="0"/>
          <w:numId w:val="10"/>
        </w:numPr>
      </w:pPr>
      <w:r>
        <w:rPr>
          <w:rFonts w:ascii="Calibri" w:hAnsi="Calibri"/>
          <w:b w:val="0"/>
          <w:i w:val="0"/>
          <w:color w:val="102A2A"/>
          <w:sz w:val="22"/>
        </w:rPr>
        <w:t>Guaranteed, risk-free, or certain profits</w:t>
      </w:r>
    </w:p>
    <w:p>
      <w:pPr>
        <w:spacing w:before="0" w:after="80" w:line="300" w:lineRule="auto"/>
        <w:numPr>
          <w:ilvl w:val="0"/>
          <w:numId w:val="10"/>
        </w:numPr>
      </w:pPr>
      <w:r>
        <w:rPr>
          <w:rFonts w:ascii="Calibri" w:hAnsi="Calibri"/>
          <w:b w:val="0"/>
          <w:i w:val="0"/>
          <w:color w:val="102A2A"/>
          <w:sz w:val="22"/>
        </w:rPr>
        <w:t>Specific future returns or a claim that historical figures will repeat</w:t>
      </w:r>
    </w:p>
    <w:p>
      <w:pPr>
        <w:spacing w:before="0" w:after="80" w:line="300" w:lineRule="auto"/>
        <w:numPr>
          <w:ilvl w:val="0"/>
          <w:numId w:val="10"/>
        </w:numPr>
      </w:pPr>
      <w:r>
        <w:rPr>
          <w:rFonts w:ascii="Calibri" w:hAnsi="Calibri"/>
          <w:b w:val="0"/>
          <w:i w:val="0"/>
          <w:color w:val="102A2A"/>
          <w:sz w:val="22"/>
        </w:rPr>
        <w:t>A claim that SpreadBoard executes, advises on, or safeguards trades or funds</w:t>
      </w:r>
    </w:p>
    <w:p>
      <w:pPr>
        <w:spacing w:before="0" w:after="80" w:line="300" w:lineRule="auto"/>
        <w:numPr>
          <w:ilvl w:val="0"/>
          <w:numId w:val="10"/>
        </w:numPr>
      </w:pPr>
      <w:r>
        <w:rPr>
          <w:rFonts w:ascii="Calibri" w:hAnsi="Calibri"/>
          <w:b w:val="0"/>
          <w:i w:val="0"/>
          <w:color w:val="102A2A"/>
          <w:sz w:val="22"/>
        </w:rPr>
        <w:t>Fabricated results, undisclosed endorsements, spam, cookie stuffing, self-referrals, fake engagement, or bidding on the SpreadBoard brand</w:t>
      </w:r>
    </w:p>
    <w:p>
      <w:pPr>
        <w:pStyle w:val="Heading1"/>
        <w:keepNext/>
      </w:pPr>
      <w:r>
        <w:rPr>
          <w:rFonts w:ascii="Calibri" w:hAnsi="Calibri"/>
          <w:b/>
          <w:i w:val="0"/>
          <w:color w:val="115E59"/>
          <w:sz w:val="32"/>
        </w:rPr>
        <w:t>Onboarding checklist</w:t>
      </w:r>
    </w:p>
    <w:p>
      <w:pPr>
        <w:spacing w:before="0" w:after="120" w:line="300" w:lineRule="auto"/>
      </w:pPr>
      <w:r>
        <w:rPr>
          <w:rFonts w:ascii="Calibri" w:hAnsi="Calibri"/>
          <w:b w:val="0"/>
          <w:i w:val="0"/>
          <w:color w:val="102A2A"/>
          <w:sz w:val="22"/>
        </w:rPr>
        <w:t>To create the cabinet and agreement, SpreadBoard needs:</w:t>
      </w:r>
    </w:p>
    <w:p>
      <w:pPr>
        <w:spacing w:before="0" w:after="80" w:line="300" w:lineRule="auto"/>
        <w:numPr>
          <w:ilvl w:val="0"/>
          <w:numId w:val="10"/>
        </w:numPr>
      </w:pPr>
      <w:r>
        <w:rPr>
          <w:rFonts w:ascii="Calibri" w:hAnsi="Calibri"/>
          <w:b w:val="0"/>
          <w:i w:val="0"/>
          <w:color w:val="102A2A"/>
          <w:sz w:val="22"/>
        </w:rPr>
        <w:t>Channel or public name and channel URL</w:t>
      </w:r>
    </w:p>
    <w:p>
      <w:pPr>
        <w:spacing w:before="0" w:after="80" w:line="300" w:lineRule="auto"/>
        <w:numPr>
          <w:ilvl w:val="0"/>
          <w:numId w:val="10"/>
        </w:numPr>
      </w:pPr>
      <w:r>
        <w:rPr>
          <w:rFonts w:ascii="Calibri" w:hAnsi="Calibri"/>
          <w:b w:val="0"/>
          <w:i w:val="0"/>
          <w:color w:val="102A2A"/>
          <w:sz w:val="22"/>
        </w:rPr>
        <w:t>Partner's legal name or business entity</w:t>
      </w:r>
    </w:p>
    <w:p>
      <w:pPr>
        <w:spacing w:before="0" w:after="80" w:line="300" w:lineRule="auto"/>
        <w:numPr>
          <w:ilvl w:val="0"/>
          <w:numId w:val="10"/>
        </w:numPr>
      </w:pPr>
      <w:r>
        <w:rPr>
          <w:rFonts w:ascii="Calibri" w:hAnsi="Calibri"/>
          <w:b w:val="0"/>
          <w:i w:val="0"/>
          <w:color w:val="102A2A"/>
          <w:sz w:val="22"/>
        </w:rPr>
        <w:t>Country and business or contact address</w:t>
      </w:r>
    </w:p>
    <w:p>
      <w:pPr>
        <w:spacing w:before="0" w:after="80" w:line="300" w:lineRule="auto"/>
        <w:numPr>
          <w:ilvl w:val="0"/>
          <w:numId w:val="10"/>
        </w:numPr>
      </w:pPr>
      <w:r>
        <w:rPr>
          <w:rFonts w:ascii="Calibri" w:hAnsi="Calibri"/>
          <w:b w:val="0"/>
          <w:i w:val="0"/>
          <w:color w:val="102A2A"/>
          <w:sz w:val="22"/>
        </w:rPr>
        <w:t>Login and notice email</w:t>
      </w:r>
    </w:p>
    <w:p>
      <w:pPr>
        <w:spacing w:before="0" w:after="80" w:line="300" w:lineRule="auto"/>
        <w:numPr>
          <w:ilvl w:val="0"/>
          <w:numId w:val="10"/>
        </w:numPr>
      </w:pPr>
      <w:r>
        <w:rPr>
          <w:rFonts w:ascii="Calibri" w:hAnsi="Calibri"/>
          <w:b w:val="0"/>
          <w:i w:val="0"/>
          <w:color w:val="102A2A"/>
          <w:sz w:val="22"/>
        </w:rPr>
        <w:t>Primary audience countries</w:t>
      </w:r>
    </w:p>
    <w:p>
      <w:pPr>
        <w:spacing w:before="0" w:after="80" w:line="300" w:lineRule="auto"/>
        <w:numPr>
          <w:ilvl w:val="0"/>
          <w:numId w:val="10"/>
        </w:numPr>
      </w:pPr>
      <w:r>
        <w:rPr>
          <w:rFonts w:ascii="Calibri" w:hAnsi="Calibri"/>
          <w:b w:val="0"/>
          <w:i w:val="0"/>
          <w:color w:val="102A2A"/>
          <w:sz w:val="22"/>
        </w:rPr>
        <w:t>USDT wallet address on Arbitrum; this can be added securely in the cabinet</w:t>
      </w:r>
    </w:p>
    <w:p>
      <w:pPr>
        <w:spacing w:before="0" w:after="80" w:line="300" w:lineRule="auto"/>
        <w:numPr>
          <w:ilvl w:val="0"/>
          <w:numId w:val="10"/>
        </w:numPr>
      </w:pPr>
      <w:r>
        <w:rPr>
          <w:rFonts w:ascii="Calibri" w:hAnsi="Calibri"/>
          <w:b w:val="0"/>
          <w:i w:val="0"/>
          <w:color w:val="102A2A"/>
          <w:sz w:val="22"/>
        </w:rPr>
        <w:t>Confirmation that the affiliate disclosure and program terms are accepted</w:t>
      </w:r>
    </w:p>
    <w:p>
      <w:pPr>
        <w:spacing w:before="0" w:after="120" w:line="300" w:lineRule="auto"/>
      </w:pPr>
      <w:r>
        <w:rPr>
          <w:rFonts w:ascii="Calibri" w:hAnsi="Calibri"/>
          <w:b w:val="0"/>
          <w:i w:val="0"/>
          <w:color w:val="102A2A"/>
          <w:sz w:val="22"/>
        </w:rPr>
        <w:t>There is no minimum sales requirement and no exclusivity unless separately agreed in writing. The final signed Affiliate Partner Agreement and the current Affiliate Program Terms govern the relationship.</w:t>
      </w:r>
    </w:p>
    <w:p>
      <w:pPr>
        <w:pStyle w:val="Heading1"/>
        <w:keepNext/>
      </w:pPr>
      <w:r>
        <w:rPr>
          <w:rFonts w:ascii="Calibri" w:hAnsi="Calibri"/>
          <w:b/>
          <w:i w:val="0"/>
          <w:color w:val="115E59"/>
          <w:sz w:val="32"/>
        </w:rPr>
        <w:t>Next step</w:t>
      </w:r>
    </w:p>
    <w:p>
      <w:pPr>
        <w:spacing w:before="0" w:after="120" w:line="300" w:lineRule="auto"/>
      </w:pPr>
      <w:r>
        <w:rPr>
          <w:rFonts w:ascii="Calibri" w:hAnsi="Calibri"/>
          <w:b w:val="0"/>
          <w:i w:val="0"/>
          <w:color w:val="102A2A"/>
          <w:sz w:val="22"/>
        </w:rPr>
        <w:t>Reply to the invitation email confirming interest. SpreadBoard will send a single-use account setup link so the partner chooses their own password, followed by the personal referral link and agreement for signature.</w:t>
      </w:r>
    </w:p>
    <w:tbl>
      <w:tblPr>
        <w:tblW w:type="dxa" w:w="9360"/>
        <w:tblLayout w:type="fixed"/>
        <w:tblLook w:firstColumn="1" w:firstRow="1" w:lastColumn="0" w:lastRow="0" w:noHBand="0" w:noVBand="1" w:val="04A0"/>
        <w:jc w:val="left"/>
        <w:tblInd w:w="120" w:type="dxa"/>
      </w:tblPr>
      <w:tblGrid>
        <w:gridCol w:w="2700"/>
        <w:gridCol w:w="6660"/>
      </w:tblGrid>
      <w:tr>
        <w:tc>
          <w:tcPr>
            <w:tcW w:type="dxa" w:w="270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E8F5F2"/>
          </w:tcPr>
          <w:p>
            <w:pPr>
              <w:spacing w:before="0" w:after="0" w:line="276" w:lineRule="auto"/>
            </w:pPr>
            <w:r>
              <w:rPr>
                <w:rFonts w:ascii="Calibri" w:hAnsi="Calibri"/>
                <w:b/>
                <w:i w:val="0"/>
                <w:color w:val="115E59"/>
                <w:sz w:val="19"/>
              </w:rPr>
              <w:t>Website</w:t>
            </w:r>
          </w:p>
        </w:tc>
        <w:tc>
          <w:tcPr>
            <w:tcW w:type="dxa" w:w="666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FFFFFF"/>
          </w:tcPr>
          <w:p>
            <w:pPr>
              <w:spacing w:before="0" w:after="0" w:line="276" w:lineRule="auto"/>
            </w:pPr>
            <w:r>
              <w:rPr>
                <w:rFonts w:ascii="Calibri" w:hAnsi="Calibri"/>
                <w:b w:val="0"/>
                <w:i w:val="0"/>
                <w:color w:val="102A2A"/>
                <w:sz w:val="19"/>
              </w:rPr>
              <w:t>https://spreadarbitrage.ink</w:t>
            </w:r>
          </w:p>
        </w:tc>
      </w:tr>
      <w:tr>
        <w:tc>
          <w:tcPr>
            <w:tcW w:type="dxa" w:w="270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E8F5F2"/>
          </w:tcPr>
          <w:p>
            <w:pPr>
              <w:spacing w:before="0" w:after="0" w:line="276" w:lineRule="auto"/>
            </w:pPr>
            <w:r>
              <w:rPr>
                <w:rFonts w:ascii="Calibri" w:hAnsi="Calibri"/>
                <w:b/>
                <w:i w:val="0"/>
                <w:color w:val="115E59"/>
                <w:sz w:val="19"/>
              </w:rPr>
              <w:t>Affiliate terms</w:t>
            </w:r>
          </w:p>
        </w:tc>
        <w:tc>
          <w:tcPr>
            <w:tcW w:type="dxa" w:w="6660"/>
            <w:tcMar>
              <w:top w:w="80" w:type="dxa"/>
              <w:bottom w:w="80" w:type="dxa"/>
              <w:start w:w="120" w:type="dxa"/>
              <w:end w:w="120" w:type="dxa"/>
            </w:tcMar>
            <w:tcBorders>
              <w:top w:val="single" w:sz="6" w:color="B8D4CF"/>
              <w:start w:val="single" w:sz="6" w:color="B8D4CF"/>
              <w:bottom w:val="single" w:sz="6" w:color="B8D4CF"/>
              <w:end w:val="single" w:sz="6" w:color="B8D4CF"/>
              <w:insideH w:val="single" w:sz="6" w:color="B8D4CF"/>
              <w:insideV w:val="single" w:sz="6" w:color="B8D4CF"/>
            </w:tcBorders>
            <w:vAlign w:val="center"/>
            <w:shd w:fill="FFFFFF"/>
          </w:tcPr>
          <w:p>
            <w:pPr>
              <w:spacing w:before="0" w:after="0" w:line="276" w:lineRule="auto"/>
            </w:pPr>
            <w:r>
              <w:rPr>
                <w:rFonts w:ascii="Calibri" w:hAnsi="Calibri"/>
                <w:b w:val="0"/>
                <w:i w:val="0"/>
                <w:color w:val="102A2A"/>
                <w:sz w:val="19"/>
              </w:rPr>
              <w:t>https://spreadarbitrage.ink/affiliate-terms</w:t>
            </w:r>
          </w:p>
        </w:tc>
      </w:tr>
    </w:tbl>
    <w:p>
      <w:pPr>
        <w:spacing w:before="160" w:after="0"/>
        <w:jc w:val="center"/>
      </w:pPr>
      <w:r>
        <w:rPr>
          <w:rFonts w:ascii="Calibri" w:hAnsi="Calibri"/>
          <w:b w:val="0"/>
          <w:i/>
          <w:color w:val="526463"/>
          <w:sz w:val="17"/>
        </w:rPr>
        <w:t>Program overview dated 10 August 2026. Commercial terms may be updated only as allowed by the signed agreement. SpreadBoard is a research product, not investment advice.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2646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space="6" w:color="B8D4CF"/>
      </w:pBdr>
    </w:pPr>
    <w:r>
      <w:rPr>
        <w:rFonts w:ascii="Calibri" w:hAnsi="Calibri"/>
        <w:b/>
        <w:i w:val="0"/>
        <w:color w:val="115E59"/>
        <w:sz w:val="18"/>
      </w:rPr>
      <w:t>SpreadBoard  |  Affiliate Partner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15E5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5E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