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7C841" w14:textId="77777777" w:rsidR="00B55835" w:rsidRDefault="00000000">
      <w:pPr>
        <w:jc w:val="center"/>
        <w:rPr>
          <w:rFonts w:hint="eastAsia"/>
        </w:rPr>
      </w:pPr>
      <w:r>
        <w:rPr>
          <w:rFonts w:ascii="Space Grotesk" w:hAnsi="Space Grotesk"/>
          <w:b/>
          <w:color w:val="0B1726"/>
          <w:sz w:val="48"/>
        </w:rPr>
        <w:t>AI CLUB — VIT CHENNAI</w:t>
      </w:r>
    </w:p>
    <w:p w14:paraId="446A685D" w14:textId="77777777" w:rsidR="00B55835" w:rsidRDefault="00000000">
      <w:pPr>
        <w:jc w:val="center"/>
        <w:rPr>
          <w:rFonts w:hint="eastAsia"/>
        </w:rPr>
      </w:pPr>
      <w:r>
        <w:rPr>
          <w:rFonts w:ascii="Space Grotesk" w:hAnsi="Space Grotesk"/>
          <w:b/>
          <w:color w:val="3187E8"/>
          <w:sz w:val="24"/>
        </w:rPr>
        <w:t>NIS-01: NEURAL INTELLIGENCE SYSTEM</w:t>
      </w:r>
    </w:p>
    <w:p w14:paraId="41329047" w14:textId="77777777" w:rsidR="00B55835" w:rsidRDefault="00000000">
      <w:pPr>
        <w:jc w:val="center"/>
        <w:rPr>
          <w:rFonts w:hint="eastAsia"/>
        </w:rPr>
      </w:pPr>
      <w:r>
        <w:t>Concise Visual Brand Identity Guide</w:t>
      </w:r>
    </w:p>
    <w:p w14:paraId="4BD5BB20" w14:textId="77777777" w:rsidR="00B55835" w:rsidRDefault="00000000">
      <w:pPr>
        <w:pStyle w:val="Heading1"/>
      </w:pPr>
      <w:r>
        <w:t>1. Core Concept</w:t>
      </w:r>
    </w:p>
    <w:p w14:paraId="61789177" w14:textId="77777777" w:rsidR="00B55835" w:rsidRDefault="00000000">
      <w:pPr>
        <w:rPr>
          <w:rFonts w:hint="eastAsia"/>
        </w:rPr>
      </w:pPr>
      <w:r>
        <w:rPr>
          <w:b/>
          <w:color w:val="3187E8"/>
        </w:rPr>
        <w:t>Human Intelligence × Artificial Intelligence</w:t>
      </w:r>
    </w:p>
    <w:p w14:paraId="69717013" w14:textId="77777777" w:rsidR="00B55835" w:rsidRDefault="00000000">
      <w:pPr>
        <w:rPr>
          <w:rFonts w:hint="eastAsia"/>
        </w:rPr>
      </w:pPr>
      <w:r>
        <w:t>The identity combines organic neural forms with precise computational/circuit elements, reflecting AI, technology and human creativity.</w:t>
      </w:r>
    </w:p>
    <w:p w14:paraId="3FE56DAE" w14:textId="77777777" w:rsidR="00B55835" w:rsidRDefault="00000000">
      <w:pPr>
        <w:pStyle w:val="Heading1"/>
      </w:pPr>
      <w:r>
        <w:t>2. Brand Personality</w:t>
      </w:r>
    </w:p>
    <w:p w14:paraId="5FAD91D0" w14:textId="77777777" w:rsidR="00B55835" w:rsidRDefault="00000000">
      <w:pPr>
        <w:rPr>
          <w:rFonts w:hint="eastAsia"/>
        </w:rPr>
      </w:pPr>
      <w:r>
        <w:rPr>
          <w:b/>
        </w:rPr>
        <w:t>Intelligent · Technical · Modern · Creative · Human · Clean</w:t>
      </w:r>
    </w:p>
    <w:p w14:paraId="20BFBE18" w14:textId="77777777" w:rsidR="00B55835" w:rsidRDefault="00000000">
      <w:pPr>
        <w:rPr>
          <w:rFonts w:hint="eastAsia"/>
        </w:rPr>
      </w:pPr>
      <w:r>
        <w:t>Technologically advanced without becoming overly futuristic, cyberpunk or cluttered.</w:t>
      </w:r>
    </w:p>
    <w:p w14:paraId="76EC56E9" w14:textId="77777777" w:rsidR="00B55835" w:rsidRDefault="00000000">
      <w:pPr>
        <w:pStyle w:val="Heading1"/>
      </w:pPr>
      <w:r>
        <w:t>3. Colour Palette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55835" w14:paraId="6B70F1A7" w14:textId="77777777">
        <w:trPr>
          <w:jc w:val="center"/>
        </w:trPr>
        <w:tc>
          <w:tcPr>
            <w:tcW w:w="3456" w:type="dxa"/>
            <w:shd w:val="clear" w:color="auto" w:fill="0B1726"/>
            <w:vAlign w:val="center"/>
          </w:tcPr>
          <w:p w14:paraId="63CF31B0" w14:textId="77777777" w:rsidR="00B5583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Colour</w:t>
            </w:r>
          </w:p>
        </w:tc>
        <w:tc>
          <w:tcPr>
            <w:tcW w:w="3456" w:type="dxa"/>
            <w:shd w:val="clear" w:color="auto" w:fill="0B1726"/>
            <w:vAlign w:val="center"/>
          </w:tcPr>
          <w:p w14:paraId="1EB20F52" w14:textId="77777777" w:rsidR="00B5583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HEX</w:t>
            </w:r>
          </w:p>
        </w:tc>
        <w:tc>
          <w:tcPr>
            <w:tcW w:w="3456" w:type="dxa"/>
            <w:shd w:val="clear" w:color="auto" w:fill="0B1726"/>
            <w:vAlign w:val="center"/>
          </w:tcPr>
          <w:p w14:paraId="30028339" w14:textId="77777777" w:rsidR="00B5583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Primary Use</w:t>
            </w:r>
          </w:p>
        </w:tc>
      </w:tr>
      <w:tr w:rsidR="00B55835" w14:paraId="15E4C712" w14:textId="77777777">
        <w:trPr>
          <w:jc w:val="center"/>
        </w:trPr>
        <w:tc>
          <w:tcPr>
            <w:tcW w:w="3456" w:type="dxa"/>
          </w:tcPr>
          <w:p w14:paraId="66F38C9A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Electric Blue</w:t>
            </w:r>
          </w:p>
        </w:tc>
        <w:tc>
          <w:tcPr>
            <w:tcW w:w="3456" w:type="dxa"/>
            <w:shd w:val="clear" w:color="auto" w:fill="3187E8"/>
          </w:tcPr>
          <w:p w14:paraId="2865D061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#3187E8</w:t>
            </w:r>
          </w:p>
        </w:tc>
        <w:tc>
          <w:tcPr>
            <w:tcW w:w="3456" w:type="dxa"/>
          </w:tcPr>
          <w:p w14:paraId="64F7EA4F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Main accent, CTA, highlights</w:t>
            </w:r>
          </w:p>
        </w:tc>
      </w:tr>
      <w:tr w:rsidR="00B55835" w14:paraId="22461A78" w14:textId="77777777">
        <w:trPr>
          <w:jc w:val="center"/>
        </w:trPr>
        <w:tc>
          <w:tcPr>
            <w:tcW w:w="3456" w:type="dxa"/>
          </w:tcPr>
          <w:p w14:paraId="04B5C660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Light Blue</w:t>
            </w:r>
          </w:p>
        </w:tc>
        <w:tc>
          <w:tcPr>
            <w:tcW w:w="3456" w:type="dxa"/>
            <w:shd w:val="clear" w:color="auto" w:fill="69ACFF"/>
          </w:tcPr>
          <w:p w14:paraId="4C87F344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#69ACFF</w:t>
            </w:r>
          </w:p>
        </w:tc>
        <w:tc>
          <w:tcPr>
            <w:tcW w:w="3456" w:type="dxa"/>
          </w:tcPr>
          <w:p w14:paraId="168C5FDB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Gradients, secondary accents</w:t>
            </w:r>
          </w:p>
        </w:tc>
      </w:tr>
      <w:tr w:rsidR="00B55835" w14:paraId="04EE51B1" w14:textId="77777777">
        <w:trPr>
          <w:jc w:val="center"/>
        </w:trPr>
        <w:tc>
          <w:tcPr>
            <w:tcW w:w="3456" w:type="dxa"/>
          </w:tcPr>
          <w:p w14:paraId="76723320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Deep Navy</w:t>
            </w:r>
          </w:p>
        </w:tc>
        <w:tc>
          <w:tcPr>
            <w:tcW w:w="3456" w:type="dxa"/>
            <w:shd w:val="clear" w:color="auto" w:fill="0B1726"/>
          </w:tcPr>
          <w:p w14:paraId="1620420C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#0B1726</w:t>
            </w:r>
          </w:p>
        </w:tc>
        <w:tc>
          <w:tcPr>
            <w:tcW w:w="3456" w:type="dxa"/>
          </w:tcPr>
          <w:p w14:paraId="6E927DBB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Dark backgrounds</w:t>
            </w:r>
          </w:p>
        </w:tc>
      </w:tr>
      <w:tr w:rsidR="00B55835" w14:paraId="2D421FAA" w14:textId="77777777">
        <w:trPr>
          <w:jc w:val="center"/>
        </w:trPr>
        <w:tc>
          <w:tcPr>
            <w:tcW w:w="3456" w:type="dxa"/>
          </w:tcPr>
          <w:p w14:paraId="45C0B65D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Navy Surface</w:t>
            </w:r>
          </w:p>
        </w:tc>
        <w:tc>
          <w:tcPr>
            <w:tcW w:w="3456" w:type="dxa"/>
            <w:shd w:val="clear" w:color="auto" w:fill="14283D"/>
          </w:tcPr>
          <w:p w14:paraId="0D20D712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#14283D</w:t>
            </w:r>
          </w:p>
        </w:tc>
        <w:tc>
          <w:tcPr>
            <w:tcW w:w="3456" w:type="dxa"/>
          </w:tcPr>
          <w:p w14:paraId="3FE77361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Dark cards/sections</w:t>
            </w:r>
          </w:p>
        </w:tc>
      </w:tr>
      <w:tr w:rsidR="00B55835" w14:paraId="4571C4BC" w14:textId="77777777">
        <w:trPr>
          <w:jc w:val="center"/>
        </w:trPr>
        <w:tc>
          <w:tcPr>
            <w:tcW w:w="3456" w:type="dxa"/>
          </w:tcPr>
          <w:p w14:paraId="5CC584EA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Tech Grey</w:t>
            </w:r>
          </w:p>
        </w:tc>
        <w:tc>
          <w:tcPr>
            <w:tcW w:w="3456" w:type="dxa"/>
            <w:shd w:val="clear" w:color="auto" w:fill="969696"/>
          </w:tcPr>
          <w:p w14:paraId="2088DBC7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#969696</w:t>
            </w:r>
          </w:p>
        </w:tc>
        <w:tc>
          <w:tcPr>
            <w:tcW w:w="3456" w:type="dxa"/>
          </w:tcPr>
          <w:p w14:paraId="3D6421CF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Secondary graphics</w:t>
            </w:r>
          </w:p>
        </w:tc>
      </w:tr>
      <w:tr w:rsidR="00B55835" w14:paraId="0AAB551C" w14:textId="77777777">
        <w:trPr>
          <w:jc w:val="center"/>
        </w:trPr>
        <w:tc>
          <w:tcPr>
            <w:tcW w:w="3456" w:type="dxa"/>
          </w:tcPr>
          <w:p w14:paraId="38954587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Light Grey</w:t>
            </w:r>
          </w:p>
        </w:tc>
        <w:tc>
          <w:tcPr>
            <w:tcW w:w="3456" w:type="dxa"/>
            <w:shd w:val="clear" w:color="auto" w:fill="E8EDF3"/>
          </w:tcPr>
          <w:p w14:paraId="51990EBA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#E8EDF3</w:t>
            </w:r>
          </w:p>
        </w:tc>
        <w:tc>
          <w:tcPr>
            <w:tcW w:w="3456" w:type="dxa"/>
          </w:tcPr>
          <w:p w14:paraId="77D6E8BB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Borders/cards</w:t>
            </w:r>
          </w:p>
        </w:tc>
      </w:tr>
      <w:tr w:rsidR="00B55835" w14:paraId="48ED6B97" w14:textId="77777777">
        <w:trPr>
          <w:jc w:val="center"/>
        </w:trPr>
        <w:tc>
          <w:tcPr>
            <w:tcW w:w="3456" w:type="dxa"/>
          </w:tcPr>
          <w:p w14:paraId="69ECBA5B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Off White</w:t>
            </w:r>
          </w:p>
        </w:tc>
        <w:tc>
          <w:tcPr>
            <w:tcW w:w="3456" w:type="dxa"/>
            <w:shd w:val="clear" w:color="auto" w:fill="F7F9FC"/>
          </w:tcPr>
          <w:p w14:paraId="39B63530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#F7F9FC</w:t>
            </w:r>
          </w:p>
        </w:tc>
        <w:tc>
          <w:tcPr>
            <w:tcW w:w="3456" w:type="dxa"/>
          </w:tcPr>
          <w:p w14:paraId="1E233D25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Main light background</w:t>
            </w:r>
          </w:p>
        </w:tc>
      </w:tr>
      <w:tr w:rsidR="00B55835" w14:paraId="6E9EEBA2" w14:textId="77777777">
        <w:trPr>
          <w:jc w:val="center"/>
        </w:trPr>
        <w:tc>
          <w:tcPr>
            <w:tcW w:w="3456" w:type="dxa"/>
          </w:tcPr>
          <w:p w14:paraId="57454DB4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White</w:t>
            </w:r>
          </w:p>
        </w:tc>
        <w:tc>
          <w:tcPr>
            <w:tcW w:w="3456" w:type="dxa"/>
            <w:shd w:val="clear" w:color="auto" w:fill="FFFFFF"/>
          </w:tcPr>
          <w:p w14:paraId="18C2E808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#FFFFFF</w:t>
            </w:r>
          </w:p>
        </w:tc>
        <w:tc>
          <w:tcPr>
            <w:tcW w:w="3456" w:type="dxa"/>
          </w:tcPr>
          <w:p w14:paraId="084C3521" w14:textId="77777777" w:rsidR="00B55835" w:rsidRDefault="00000000">
            <w:pPr>
              <w:rPr>
                <w:rFonts w:hint="eastAsia"/>
              </w:rPr>
            </w:pPr>
            <w:r>
              <w:rPr>
                <w:sz w:val="16"/>
              </w:rPr>
              <w:t>Cards/text</w:t>
            </w:r>
          </w:p>
        </w:tc>
      </w:tr>
    </w:tbl>
    <w:p w14:paraId="61C28BFA" w14:textId="77777777" w:rsidR="00B55835" w:rsidRDefault="00000000">
      <w:pPr>
        <w:rPr>
          <w:rFonts w:hint="eastAsia"/>
        </w:rPr>
      </w:pPr>
      <w:r>
        <w:t>Blue functions primarily as an accent; neutral space should remain dominant.</w:t>
      </w:r>
    </w:p>
    <w:p w14:paraId="7F80E5D6" w14:textId="77777777" w:rsidR="00B55835" w:rsidRDefault="00000000">
      <w:pPr>
        <w:pStyle w:val="Heading1"/>
      </w:pPr>
      <w:r>
        <w:t>4. Typography</w:t>
      </w:r>
    </w:p>
    <w:p w14:paraId="0EFE31CA" w14:textId="77777777" w:rsidR="00B55835" w:rsidRDefault="00000000">
      <w:pPr>
        <w:pStyle w:val="ListBullet"/>
        <w:spacing w:after="20"/>
        <w:rPr>
          <w:rFonts w:hint="eastAsia"/>
        </w:rPr>
      </w:pPr>
      <w:r>
        <w:t>Primary — Space Grotesk: headings, titles, navigation and major statements.</w:t>
      </w:r>
    </w:p>
    <w:p w14:paraId="48C8CD5A" w14:textId="77777777" w:rsidR="00B55835" w:rsidRDefault="00000000">
      <w:pPr>
        <w:pStyle w:val="ListBullet"/>
        <w:spacing w:after="20"/>
        <w:rPr>
          <w:rFonts w:hint="eastAsia"/>
        </w:rPr>
      </w:pPr>
      <w:r>
        <w:t>Secondary — Inter: body text, descriptions, UI and event information.</w:t>
      </w:r>
    </w:p>
    <w:p w14:paraId="5A7ACDA9" w14:textId="77777777" w:rsidR="00B55835" w:rsidRDefault="00000000">
      <w:pPr>
        <w:pStyle w:val="ListBullet"/>
        <w:spacing w:after="20"/>
        <w:rPr>
          <w:rFonts w:hint="eastAsia"/>
        </w:rPr>
      </w:pPr>
      <w:r>
        <w:t>Technical — JetBrains Mono: small technical labels and event identifiers.</w:t>
      </w:r>
    </w:p>
    <w:p w14:paraId="3430AFAD" w14:textId="77777777" w:rsidR="00B55835" w:rsidRDefault="00000000">
      <w:pPr>
        <w:pStyle w:val="Heading1"/>
      </w:pPr>
      <w:r>
        <w:t>5. Graphic Language</w:t>
      </w:r>
    </w:p>
    <w:p w14:paraId="4AD04D2C" w14:textId="77777777" w:rsidR="00B55835" w:rsidRDefault="00000000">
      <w:pPr>
        <w:pStyle w:val="ListBullet"/>
        <w:spacing w:after="20"/>
        <w:rPr>
          <w:rFonts w:hint="eastAsia"/>
        </w:rPr>
      </w:pPr>
      <w:r>
        <w:t>Core motif: Neural Nodes + Circuit Lines + Technical Grid.</w:t>
      </w:r>
    </w:p>
    <w:p w14:paraId="342D7C35" w14:textId="77777777" w:rsidR="00B55835" w:rsidRDefault="00000000">
      <w:pPr>
        <w:pStyle w:val="ListBullet"/>
        <w:spacing w:after="20"/>
        <w:rPr>
          <w:rFonts w:hint="eastAsia"/>
        </w:rPr>
      </w:pPr>
      <w:r>
        <w:t>Circuit lines: 1–2 px, using 90°/45° turns and circular nodes.</w:t>
      </w:r>
    </w:p>
    <w:p w14:paraId="5002D452" w14:textId="77777777" w:rsidR="00B55835" w:rsidRDefault="00000000">
      <w:pPr>
        <w:pStyle w:val="ListBullet"/>
        <w:spacing w:after="20"/>
        <w:rPr>
          <w:rFonts w:hint="eastAsia"/>
        </w:rPr>
      </w:pPr>
      <w:r>
        <w:t>The blue circular node (●) is a recurring signature element.</w:t>
      </w:r>
    </w:p>
    <w:p w14:paraId="17982A2E" w14:textId="77777777" w:rsidR="00B55835" w:rsidRDefault="00000000">
      <w:pPr>
        <w:pStyle w:val="ListBullet"/>
        <w:spacing w:after="20"/>
        <w:rPr>
          <w:rFonts w:hint="eastAsia"/>
        </w:rPr>
      </w:pPr>
      <w:r>
        <w:t>Organic curves connect the visual language to the brain/neural side of the logo.</w:t>
      </w:r>
    </w:p>
    <w:p w14:paraId="4396D8C3" w14:textId="77777777" w:rsidR="00B55835" w:rsidRDefault="00000000">
      <w:pPr>
        <w:pStyle w:val="Heading1"/>
      </w:pPr>
      <w:r>
        <w:t>6. Layout &amp; Spacing</w:t>
      </w:r>
    </w:p>
    <w:p w14:paraId="0D069792" w14:textId="77777777" w:rsidR="00B55835" w:rsidRDefault="00000000">
      <w:pPr>
        <w:pStyle w:val="ListBullet"/>
        <w:spacing w:after="20"/>
        <w:rPr>
          <w:rFonts w:hint="eastAsia"/>
        </w:rPr>
      </w:pPr>
      <w:r>
        <w:t>Website: 12-column desktop grid; 4-column mobile grid.</w:t>
      </w:r>
    </w:p>
    <w:p w14:paraId="50F170A3" w14:textId="77777777" w:rsidR="00B55835" w:rsidRDefault="00000000">
      <w:pPr>
        <w:pStyle w:val="ListBullet"/>
        <w:spacing w:after="20"/>
        <w:rPr>
          <w:rFonts w:hint="eastAsia"/>
        </w:rPr>
      </w:pPr>
      <w:r>
        <w:t>Posters: approximately 6-column grid.</w:t>
      </w:r>
    </w:p>
    <w:p w14:paraId="597B0AAF" w14:textId="77777777" w:rsidR="00B55835" w:rsidRDefault="00000000">
      <w:pPr>
        <w:pStyle w:val="ListBullet"/>
        <w:spacing w:after="20"/>
        <w:rPr>
          <w:rFonts w:hint="eastAsia"/>
        </w:rPr>
      </w:pPr>
      <w:r>
        <w:t>Spacing follows an 8 px base system: 8 · 16 · 24 · 32 · 48 · 64 · 80 · 96 px.</w:t>
      </w:r>
    </w:p>
    <w:p w14:paraId="6055C3DF" w14:textId="77777777" w:rsidR="00B55835" w:rsidRDefault="00000000">
      <w:pPr>
        <w:pStyle w:val="ListBullet"/>
        <w:spacing w:after="20"/>
        <w:rPr>
          <w:rFonts w:hint="eastAsia"/>
        </w:rPr>
      </w:pPr>
      <w:r>
        <w:t>Strong alignment, clear hierarchy and generous negative space.</w:t>
      </w:r>
    </w:p>
    <w:p w14:paraId="55483C38" w14:textId="77777777" w:rsidR="00B55835" w:rsidRDefault="00000000">
      <w:pPr>
        <w:pStyle w:val="Heading1"/>
      </w:pPr>
      <w:r>
        <w:lastRenderedPageBreak/>
        <w:t>7. Shapes &amp; Components</w:t>
      </w:r>
    </w:p>
    <w:p w14:paraId="4F3B13FF" w14:textId="77777777" w:rsidR="00B55835" w:rsidRDefault="00000000">
      <w:pPr>
        <w:pStyle w:val="ListBullet"/>
        <w:spacing w:after="20"/>
        <w:rPr>
          <w:rFonts w:hint="eastAsia"/>
        </w:rPr>
      </w:pPr>
      <w:r>
        <w:t>Cards: clean/minimal, ~12 px radius, subtle borders and occasional circuit details.</w:t>
      </w:r>
    </w:p>
    <w:p w14:paraId="287B0DCE" w14:textId="77777777" w:rsidR="00B55835" w:rsidRDefault="00000000">
      <w:pPr>
        <w:pStyle w:val="ListBullet"/>
        <w:spacing w:after="20"/>
        <w:rPr>
          <w:rFonts w:hint="eastAsia"/>
        </w:rPr>
      </w:pPr>
      <w:r>
        <w:t>Buttons: primary #3187E8 with white text and 8 px radius; secondary uses a blue outline.</w:t>
      </w:r>
    </w:p>
    <w:p w14:paraId="13CD6E75" w14:textId="77777777" w:rsidR="00B55835" w:rsidRDefault="00000000">
      <w:pPr>
        <w:pStyle w:val="ListBullet"/>
        <w:spacing w:after="20"/>
        <w:rPr>
          <w:rFonts w:hint="eastAsia"/>
        </w:rPr>
      </w:pPr>
      <w:r>
        <w:t>Icons: minimal outline style, 1.5–2 px stroke, geometric and consistent.</w:t>
      </w:r>
    </w:p>
    <w:p w14:paraId="4B133115" w14:textId="77777777" w:rsidR="00B55835" w:rsidRDefault="00000000">
      <w:pPr>
        <w:pStyle w:val="ListBullet"/>
        <w:spacing w:after="20"/>
        <w:rPr>
          <w:rFonts w:hint="eastAsia"/>
        </w:rPr>
      </w:pPr>
      <w:r>
        <w:t>Rounded UI elements contrast with angular circuit geometry.</w:t>
      </w:r>
    </w:p>
    <w:p w14:paraId="3A4EBD68" w14:textId="77777777" w:rsidR="00B55835" w:rsidRDefault="00000000">
      <w:pPr>
        <w:pStyle w:val="Heading1"/>
      </w:pPr>
      <w:r>
        <w:t>8. Website Style</w:t>
      </w:r>
    </w:p>
    <w:p w14:paraId="79C52342" w14:textId="77777777" w:rsidR="00B55835" w:rsidRDefault="00000000">
      <w:pPr>
        <w:pStyle w:val="ListBullet"/>
        <w:spacing w:after="20"/>
        <w:rPr>
          <w:rFonts w:hint="eastAsia"/>
        </w:rPr>
      </w:pPr>
      <w:r>
        <w:t>Hero: large typography with a brain/circuit visual.</w:t>
      </w:r>
    </w:p>
    <w:p w14:paraId="1AE68B12" w14:textId="77777777" w:rsidR="00B55835" w:rsidRDefault="00000000">
      <w:pPr>
        <w:pStyle w:val="ListBullet"/>
        <w:spacing w:after="20"/>
        <w:rPr>
          <w:rFonts w:hint="eastAsia"/>
        </w:rPr>
      </w:pPr>
      <w:r>
        <w:t>Events: structured cards with dates, categories and event identifiers.</w:t>
      </w:r>
    </w:p>
    <w:p w14:paraId="19720131" w14:textId="77777777" w:rsidR="00B55835" w:rsidRDefault="00000000">
      <w:pPr>
        <w:pStyle w:val="ListBullet"/>
        <w:spacing w:after="20"/>
        <w:rPr>
          <w:rFonts w:hint="eastAsia"/>
        </w:rPr>
      </w:pPr>
      <w:r>
        <w:t>Projects: technical/grid-based layouts.</w:t>
      </w:r>
    </w:p>
    <w:p w14:paraId="45A46B80" w14:textId="77777777" w:rsidR="00B55835" w:rsidRDefault="00000000">
      <w:pPr>
        <w:pStyle w:val="ListBullet"/>
        <w:spacing w:after="20"/>
        <w:rPr>
          <w:rFonts w:hint="eastAsia"/>
        </w:rPr>
      </w:pPr>
      <w:r>
        <w:t>Team: photography with subtle circuit overlays.</w:t>
      </w:r>
    </w:p>
    <w:p w14:paraId="4FBCD7E7" w14:textId="77777777" w:rsidR="00B55835" w:rsidRDefault="00000000">
      <w:pPr>
        <w:pStyle w:val="ListBullet"/>
        <w:spacing w:after="20"/>
        <w:rPr>
          <w:rFonts w:hint="eastAsia"/>
        </w:rPr>
      </w:pPr>
      <w:r>
        <w:t>Join Us: strong blue CTA. Light background #F7F9FC; dark sections #0B1726.</w:t>
      </w:r>
    </w:p>
    <w:p w14:paraId="1AB3A0EC" w14:textId="77777777" w:rsidR="00B55835" w:rsidRDefault="00000000">
      <w:pPr>
        <w:pStyle w:val="Heading1"/>
      </w:pPr>
      <w:r>
        <w:t>9. Dark Mode</w:t>
      </w:r>
    </w:p>
    <w:p w14:paraId="783135B4" w14:textId="77777777" w:rsidR="00B55835" w:rsidRDefault="00000000">
      <w:pPr>
        <w:pStyle w:val="ListBullet"/>
        <w:spacing w:after="20"/>
        <w:rPr>
          <w:rFonts w:hint="eastAsia"/>
        </w:rPr>
      </w:pPr>
      <w:r>
        <w:t>Background #0B1726 · Surface #14283D · Text #FFFFFF.</w:t>
      </w:r>
    </w:p>
    <w:p w14:paraId="12E62E88" w14:textId="77777777" w:rsidR="00B55835" w:rsidRDefault="00000000">
      <w:pPr>
        <w:pStyle w:val="ListBullet"/>
        <w:spacing w:after="20"/>
        <w:rPr>
          <w:rFonts w:hint="eastAsia"/>
        </w:rPr>
      </w:pPr>
      <w:r>
        <w:t>Secondary text #A9B5C2 · Accent #3187E8.</w:t>
      </w:r>
    </w:p>
    <w:p w14:paraId="2393DFDD" w14:textId="77777777" w:rsidR="00B55835" w:rsidRDefault="00000000">
      <w:pPr>
        <w:pStyle w:val="ListBullet"/>
        <w:spacing w:after="20"/>
        <w:rPr>
          <w:rFonts w:hint="eastAsia"/>
        </w:rPr>
      </w:pPr>
      <w:r>
        <w:t>Suitable for hackathons, technical events, project showcases and special campaigns.</w:t>
      </w:r>
    </w:p>
    <w:p w14:paraId="7AFFED8F" w14:textId="77777777" w:rsidR="00B55835" w:rsidRDefault="00000000">
      <w:pPr>
        <w:pStyle w:val="Heading1"/>
      </w:pPr>
      <w:r>
        <w:t>10. Animation</w:t>
      </w:r>
    </w:p>
    <w:p w14:paraId="474983B4" w14:textId="77777777" w:rsidR="00B55835" w:rsidRDefault="00000000">
      <w:pPr>
        <w:rPr>
          <w:rFonts w:hint="eastAsia"/>
        </w:rPr>
      </w:pPr>
      <w:r>
        <w:rPr>
          <w:b/>
          <w:color w:val="3187E8"/>
        </w:rPr>
        <w:t>Signal → Connection → Activation</w:t>
      </w:r>
    </w:p>
    <w:p w14:paraId="6A4E7ADD" w14:textId="77777777" w:rsidR="00B55835" w:rsidRDefault="00000000">
      <w:pPr>
        <w:rPr>
          <w:rFonts w:hint="eastAsia"/>
        </w:rPr>
      </w:pPr>
      <w:r>
        <w:t>Nodes appear → circuits connect → content activates. Motion remains subtle, precise and controlled.</w:t>
      </w:r>
    </w:p>
    <w:p w14:paraId="5FCC4E65" w14:textId="77777777" w:rsidR="00B55835" w:rsidRDefault="00000000">
      <w:pPr>
        <w:pStyle w:val="ListBullet"/>
        <w:spacing w:after="20"/>
        <w:rPr>
          <w:rFonts w:hint="eastAsia"/>
        </w:rPr>
      </w:pPr>
      <w:r>
        <w:t>Micro interactions: 150–250 ms · Standard transitions: 300–500 ms · Hero animations: 600–1000 ms.</w:t>
      </w:r>
    </w:p>
    <w:p w14:paraId="3BE857ED" w14:textId="77777777" w:rsidR="00B55835" w:rsidRDefault="00000000">
      <w:pPr>
        <w:pStyle w:val="Heading1"/>
      </w:pPr>
      <w:r>
        <w:t>11. Event Identification</w:t>
      </w:r>
    </w:p>
    <w:p w14:paraId="5B81F3C4" w14:textId="77777777" w:rsidR="00B55835" w:rsidRDefault="00000000">
      <w:pPr>
        <w:rPr>
          <w:rFonts w:hint="eastAsia"/>
        </w:rPr>
      </w:pPr>
      <w:r>
        <w:t>Consistent technical identifiers may be used across posters, website cards, presentations and social media.</w:t>
      </w:r>
    </w:p>
    <w:p w14:paraId="237189C9" w14:textId="77777777" w:rsidR="00B55835" w:rsidRDefault="00000000">
      <w:pPr>
        <w:rPr>
          <w:rFonts w:hint="eastAsia"/>
        </w:rPr>
      </w:pPr>
      <w:r>
        <w:rPr>
          <w:rFonts w:ascii="JetBrains Mono" w:hAnsi="JetBrains Mono"/>
          <w:b/>
          <w:color w:val="3187E8"/>
        </w:rPr>
        <w:t>AI CLUB // [CATEGORY]-[NUMBER]</w:t>
      </w:r>
    </w:p>
    <w:p w14:paraId="55BFA6DB" w14:textId="77777777" w:rsidR="00B55835" w:rsidRDefault="00000000">
      <w:pPr>
        <w:pStyle w:val="ListBullet"/>
        <w:spacing w:after="20"/>
        <w:rPr>
          <w:rFonts w:hint="eastAsia"/>
        </w:rPr>
      </w:pPr>
      <w:r>
        <w:t>WS — Workshop · TL — Talk · HC — Hackathon · CP — Competition · PR — Project</w:t>
      </w:r>
    </w:p>
    <w:p w14:paraId="3470FA4C" w14:textId="77777777" w:rsidR="00B55835" w:rsidRDefault="00000000">
      <w:pPr>
        <w:pStyle w:val="Heading1"/>
      </w:pPr>
      <w:r>
        <w:t>12. Poster Identity</w:t>
      </w:r>
    </w:p>
    <w:p w14:paraId="6D3F0E2C" w14:textId="77777777" w:rsidR="00B55835" w:rsidRDefault="00000000">
      <w:pPr>
        <w:rPr>
          <w:rFonts w:hint="eastAsia"/>
        </w:rPr>
      </w:pPr>
      <w:r>
        <w:t>Strong typography + generous whitespace + neural circuitry + structured information + blue accents. The brain-to-circuit visual remains the primary hero graphic while event information stays clean and readable.</w:t>
      </w:r>
    </w:p>
    <w:p w14:paraId="270FA2A6" w14:textId="77777777" w:rsidR="00B55835" w:rsidRDefault="00000000">
      <w:pPr>
        <w:pStyle w:val="Heading1"/>
      </w:pPr>
      <w:r>
        <w:t>13. Gradient</w:t>
      </w:r>
    </w:p>
    <w:p w14:paraId="1DDF8D1A" w14:textId="77777777" w:rsidR="00B55835" w:rsidRDefault="00000000">
      <w:pPr>
        <w:rPr>
          <w:rFonts w:hint="eastAsia"/>
        </w:rPr>
      </w:pPr>
      <w:r>
        <w:rPr>
          <w:rFonts w:ascii="JetBrains Mono" w:hAnsi="JetBrains Mono"/>
          <w:sz w:val="17"/>
        </w:rPr>
        <w:t>linear-gradient(135deg, #3187E8 0%, #69ACFF 100%)</w:t>
      </w:r>
    </w:p>
    <w:p w14:paraId="2434ED46" w14:textId="77777777" w:rsidR="00B55835" w:rsidRDefault="00000000">
      <w:pPr>
        <w:rPr>
          <w:rFonts w:hint="eastAsia"/>
        </w:rPr>
      </w:pPr>
      <w:r>
        <w:t>Use selectively for hero accents, special headings, primary CTAs, interactive states and event graphics.</w:t>
      </w:r>
    </w:p>
    <w:p w14:paraId="1D7F4D34" w14:textId="77777777" w:rsidR="00B55835" w:rsidRDefault="00000000">
      <w:pPr>
        <w:pStyle w:val="Heading1"/>
      </w:pPr>
      <w:r>
        <w:t>14. Brand Formula</w:t>
      </w:r>
    </w:p>
    <w:p w14:paraId="37C19543" w14:textId="77777777" w:rsidR="00B55835" w:rsidRDefault="00000000">
      <w:pPr>
        <w:rPr>
          <w:rFonts w:hint="eastAsia"/>
        </w:rPr>
      </w:pPr>
      <w:r>
        <w:rPr>
          <w:b/>
          <w:color w:val="3187E8"/>
        </w:rPr>
        <w:t>Organic Intelligence + Computational Precision + Human Creativity</w:t>
      </w:r>
    </w:p>
    <w:p w14:paraId="18880F39" w14:textId="77777777" w:rsidR="00B55835" w:rsidRDefault="00000000">
      <w:pPr>
        <w:rPr>
          <w:rFonts w:hint="eastAsia"/>
        </w:rPr>
      </w:pPr>
      <w:r>
        <w:t>Space Grotesk + Inter + Electric Blue + Deep Navy + Neural Nodes + Circuitry + Grid + Negative Space</w:t>
      </w:r>
    </w:p>
    <w:p w14:paraId="36BCB60E" w14:textId="77777777" w:rsidR="00B55835" w:rsidRDefault="00000000">
      <w:pPr>
        <w:pStyle w:val="Heading1"/>
      </w:pPr>
      <w:r>
        <w:lastRenderedPageBreak/>
        <w:t>15. NIS-01 Principle</w:t>
      </w:r>
    </w:p>
    <w:p w14:paraId="00A10158" w14:textId="77777777" w:rsidR="00B55835" w:rsidRDefault="00000000">
      <w:pPr>
        <w:rPr>
          <w:rFonts w:hint="eastAsia"/>
        </w:rPr>
      </w:pPr>
      <w:r>
        <w:rPr>
          <w:b/>
        </w:rPr>
        <w:t>One visual language, many applications.</w:t>
      </w:r>
    </w:p>
    <w:p w14:paraId="3BBD40AB" w14:textId="77777777" w:rsidR="00B55835" w:rsidRDefault="00000000">
      <w:r>
        <w:t>The system applies consistently across posters, website, Instagram, presentations, certificates, reels and merchandise. Layouts may vary while colour, typography, graphic language and overall visual character remain consistent.</w:t>
      </w:r>
    </w:p>
    <w:p w14:paraId="35D1F03D" w14:textId="6FCF2F29" w:rsidR="00F855C0" w:rsidRPr="00F855C0" w:rsidRDefault="00F855C0">
      <w:pPr>
        <w:rPr>
          <w:rFonts w:asciiTheme="majorHAnsi" w:hAnsiTheme="majorHAnsi" w:cstheme="majorHAnsi"/>
          <w:b/>
          <w:bCs/>
          <w:sz w:val="30"/>
          <w:szCs w:val="30"/>
        </w:rPr>
      </w:pPr>
      <w:r w:rsidRPr="00F855C0">
        <w:rPr>
          <w:rFonts w:asciiTheme="majorHAnsi" w:hAnsiTheme="majorHAnsi" w:cstheme="majorHAnsi"/>
          <w:b/>
          <w:bCs/>
          <w:sz w:val="30"/>
          <w:szCs w:val="30"/>
        </w:rPr>
        <w:t xml:space="preserve">16. Poster </w:t>
      </w:r>
      <w:r>
        <w:rPr>
          <w:rFonts w:asciiTheme="majorHAnsi" w:hAnsiTheme="majorHAnsi" w:cstheme="majorHAnsi"/>
          <w:b/>
          <w:bCs/>
          <w:sz w:val="30"/>
          <w:szCs w:val="30"/>
        </w:rPr>
        <w:t>Theme/</w:t>
      </w:r>
      <w:r w:rsidRPr="00F855C0">
        <w:rPr>
          <w:rFonts w:asciiTheme="majorHAnsi" w:hAnsiTheme="majorHAnsi" w:cstheme="majorHAnsi"/>
          <w:b/>
          <w:bCs/>
          <w:sz w:val="30"/>
          <w:szCs w:val="30"/>
        </w:rPr>
        <w:t>Template</w:t>
      </w:r>
    </w:p>
    <w:p w14:paraId="31DDE3E6" w14:textId="5051B101" w:rsidR="00F855C0" w:rsidRDefault="00F855C0" w:rsidP="00F855C0">
      <w:pPr>
        <w:jc w:val="center"/>
      </w:pPr>
      <w:r>
        <w:rPr>
          <w:noProof/>
        </w:rPr>
        <w:drawing>
          <wp:inline distT="0" distB="0" distL="0" distR="0" wp14:anchorId="77311EB8" wp14:editId="66E36715">
            <wp:extent cx="2419350" cy="3629025"/>
            <wp:effectExtent l="0" t="0" r="0" b="9525"/>
            <wp:docPr id="23894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725A4" w14:textId="5D81994D" w:rsidR="00F855C0" w:rsidRPr="00F855C0" w:rsidRDefault="00F855C0" w:rsidP="00F855C0">
      <w:pPr>
        <w:rPr>
          <w:rFonts w:asciiTheme="majorHAnsi" w:hAnsiTheme="majorHAnsi" w:cstheme="majorHAnsi"/>
          <w:b/>
          <w:bCs/>
          <w:sz w:val="30"/>
          <w:szCs w:val="30"/>
        </w:rPr>
      </w:pPr>
      <w:r w:rsidRPr="00F855C0">
        <w:rPr>
          <w:rFonts w:asciiTheme="majorHAnsi" w:hAnsiTheme="majorHAnsi" w:cstheme="majorHAnsi"/>
          <w:b/>
          <w:bCs/>
          <w:sz w:val="30"/>
          <w:szCs w:val="30"/>
        </w:rPr>
        <w:t xml:space="preserve">16. </w:t>
      </w:r>
      <w:r>
        <w:rPr>
          <w:rFonts w:asciiTheme="majorHAnsi" w:hAnsiTheme="majorHAnsi" w:cstheme="majorHAnsi"/>
          <w:b/>
          <w:bCs/>
          <w:sz w:val="30"/>
          <w:szCs w:val="30"/>
        </w:rPr>
        <w:t>Website Theme/Template</w:t>
      </w:r>
    </w:p>
    <w:p w14:paraId="495CD3D3" w14:textId="339BB35D" w:rsidR="00F855C0" w:rsidRDefault="00F855C0" w:rsidP="00F855C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D61E03" wp14:editId="271A3E39">
            <wp:extent cx="3829050" cy="2552700"/>
            <wp:effectExtent l="0" t="0" r="0" b="0"/>
            <wp:docPr id="1225136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937" cy="255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55C0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5BAAC" w14:textId="77777777" w:rsidR="00322846" w:rsidRDefault="003228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CA9140" w14:textId="77777777" w:rsidR="00322846" w:rsidRDefault="003228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pace Grotesk">
    <w:altName w:val="Cambria"/>
    <w:panose1 w:val="00000000000000000000"/>
    <w:charset w:val="00"/>
    <w:family w:val="roman"/>
    <w:notTrueType/>
    <w:pitch w:val="default"/>
  </w:font>
  <w:font w:name="JetBrains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7E796" w14:textId="77777777" w:rsidR="00B55835" w:rsidRDefault="00000000">
    <w:pPr>
      <w:pStyle w:val="Footer"/>
      <w:jc w:val="center"/>
      <w:rPr>
        <w:rFonts w:hint="eastAsia"/>
      </w:rPr>
    </w:pPr>
    <w:r>
      <w:rPr>
        <w:color w:val="969696"/>
        <w:sz w:val="14"/>
      </w:rPr>
      <w:t>AI CLUB // VIT CHENNAI  •  NIS-01  •  VISUAL BRAND IDENTITY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4322F" w14:textId="77777777" w:rsidR="00322846" w:rsidRDefault="003228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D00A44" w14:textId="77777777" w:rsidR="00322846" w:rsidRDefault="003228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8399973">
    <w:abstractNumId w:val="8"/>
  </w:num>
  <w:num w:numId="2" w16cid:durableId="159732026">
    <w:abstractNumId w:val="6"/>
  </w:num>
  <w:num w:numId="3" w16cid:durableId="1827042248">
    <w:abstractNumId w:val="5"/>
  </w:num>
  <w:num w:numId="4" w16cid:durableId="937373642">
    <w:abstractNumId w:val="4"/>
  </w:num>
  <w:num w:numId="5" w16cid:durableId="1747150419">
    <w:abstractNumId w:val="7"/>
  </w:num>
  <w:num w:numId="6" w16cid:durableId="1612323862">
    <w:abstractNumId w:val="3"/>
  </w:num>
  <w:num w:numId="7" w16cid:durableId="861821043">
    <w:abstractNumId w:val="2"/>
  </w:num>
  <w:num w:numId="8" w16cid:durableId="25913521">
    <w:abstractNumId w:val="1"/>
  </w:num>
  <w:num w:numId="9" w16cid:durableId="74669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846"/>
    <w:rsid w:val="00326F90"/>
    <w:rsid w:val="008B1031"/>
    <w:rsid w:val="00AA1D8D"/>
    <w:rsid w:val="00B47730"/>
    <w:rsid w:val="00B55835"/>
    <w:rsid w:val="00CB0664"/>
    <w:rsid w:val="00F855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510FF"/>
  <w14:defaultImageDpi w14:val="300"/>
  <w15:docId w15:val="{D344CF8B-3843-4BB9-A6D8-B589B579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Inter" w:hAnsi="Inter"/>
      <w:color w:val="10182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72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172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ARYAMAN BHATTACHARJEE</cp:lastModifiedBy>
  <cp:revision>2</cp:revision>
  <dcterms:created xsi:type="dcterms:W3CDTF">2013-12-23T23:15:00Z</dcterms:created>
  <dcterms:modified xsi:type="dcterms:W3CDTF">2026-09-17T05:45:00Z</dcterms:modified>
  <cp:category/>
</cp:coreProperties>
</file>