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F497D"/>
          <w:sz w:val="32"/>
        </w:rPr>
        <w:t>DAILY BRIEFING — Scott Margetts</w:t>
      </w:r>
    </w:p>
    <w:p>
      <w:pPr>
        <w:spacing w:before="20" w:after="20"/>
      </w:pPr>
      <w:r>
        <w:rPr>
          <w:b/>
          <w:color w:val="1F497D"/>
          <w:sz w:val="18"/>
        </w:rPr>
        <w:t xml:space="preserve">Prepared:  </w:t>
      </w:r>
      <w:r>
        <w:rPr>
          <w:sz w:val="18"/>
        </w:rPr>
        <w:t>Monday 10 May 2026, 14:15 BST</w:t>
      </w:r>
    </w:p>
    <w:p>
      <w:pPr>
        <w:spacing w:before="20" w:after="20"/>
      </w:pPr>
      <w:r>
        <w:rPr>
          <w:b/>
          <w:color w:val="1F497D"/>
          <w:sz w:val="18"/>
        </w:rPr>
        <w:t xml:space="preserve">Mode:  </w:t>
      </w:r>
      <w:r>
        <w:rPr>
          <w:sz w:val="18"/>
        </w:rPr>
        <w:t>3 — Monday sweep</w:t>
      </w:r>
    </w:p>
    <w:p>
      <w:pPr>
        <w:spacing w:before="20" w:after="20"/>
      </w:pPr>
      <w:r>
        <w:rPr>
          <w:b/>
          <w:color w:val="1F497D"/>
          <w:sz w:val="18"/>
        </w:rPr>
        <w:t xml:space="preserve">Portfolio:  </w:t>
      </w:r>
      <w:r>
        <w:rPr>
          <w:sz w:val="18"/>
        </w:rPr>
        <w:t>Aldwych · Nexus · Hartwick · Westcliff · Altissima · Meridian (6 matters)</w:t>
      </w:r>
    </w:p>
    <w:p>
      <w:pPr>
        <w:spacing w:before="20" w:after="20"/>
      </w:pPr>
      <w:r>
        <w:rPr>
          <w:b/>
          <w:color w:val="1F497D"/>
          <w:sz w:val="18"/>
        </w:rPr>
        <w:t xml:space="preserve">Timeframe:  </w:t>
      </w:r>
      <w:r>
        <w:rPr>
          <w:sz w:val="18"/>
        </w:rPr>
        <w:t>Friday 2 May 2026 09:00 → Monday 10 May 2026 14:00 BST (weekend window + 7-day pull)</w:t>
      </w:r>
    </w:p>
    <w:p>
      <w:pPr>
        <w:spacing w:before="20" w:after="20"/>
      </w:pPr>
      <w:r>
        <w:rPr>
          <w:b/>
          <w:color w:val="1F497D"/>
          <w:sz w:val="18"/>
        </w:rPr>
        <w:t xml:space="preserve">LPM ownership:  </w:t>
      </w:r>
      <w:r>
        <w:rPr>
          <w:sz w:val="18"/>
        </w:rPr>
        <w:t>Scott leads: Westcliff (M20118.003), Meridian (M20481.002). Scott oversees: Aldwych/Priya Ramanathan, Nexus/Priya Ramanathan, Hartwick/Ben Okonkwo, Altissima/Ben Okonkwo</w:t>
      </w:r>
    </w:p>
    <w:p>
      <w:pPr>
        <w:spacing w:before="80" w:after="80"/>
        <w:pBdr>
          <w:bottom w:val="single" w:sz="6" w:space="1" w:color="4472C4"/>
        </w:pBdr>
      </w:pPr>
    </w:p>
    <w:p>
      <w:pPr>
        <w:spacing w:before="160" w:after="80"/>
      </w:pPr>
      <w:r>
        <w:rPr>
          <w:b/>
          <w:color w:val="1F497D"/>
          <w:sz w:val="26"/>
        </w:rPr>
        <w:t>SUMMARY</w:t>
      </w:r>
    </w:p>
    <w:p>
      <w:pPr>
        <w:spacing w:before="40" w:after="120"/>
      </w:pPr>
      <w:r>
        <w:rPr>
          <w:b w:val="0"/>
          <w:i w:val="0"/>
          <w:sz w:val="20"/>
        </w:rPr>
        <w:t>Meridian is the day's dominant matter: Aisha Khan's Czech FDI assessment (received this morning) confirms a mandatory FISA filing is required pre-close, with a 40 working-day review window — close is at risk if JMW does not direct filing and supervisory board communication today. Simultaneously, the Polish LC has been non-responsive since 2 April and JMW's Thursday COB escalation trigger is live.</w:t>
        <w:br/>
        <w:br/>
        <w:t>Altissima has escalated over the weekend: Cuatrecasas filed a pre-litigation notice with the Madrid Commercial Court on 7 May, confirming proceedings within 4–6 weeks. Phase 3 fee letter was signed by Sofia Esposito on Friday 8 May. MKT and Ben Okonkwo need the Uría Menéndez strategy call confirmed for Wednesday before the weekend window closes further.</w:t>
        <w:br/>
        <w:br/>
        <w:t>The Aldwych WIP flash agreed at Thursday's SC (Mondays 09:00 to Marcus Lane) is already overdue as of this briefing — action needed immediately. The Aldwych SC briefing note for Thursday 14 May is ready for SVM's overnight review. On Westcliff, Scott's supplementary LP MFN analysis is with AHL for review; a revised LPA amendment draft is due to JB Remillard (QPEPP) by 22 May. Nexus is in post-submission monitoring with no active deliverables. Hartwick has a client opening to progress to framework agreement discussions (Catherine Dell confirmed week of 18 May).</w:t>
        <w:br/>
        <w:br/>
        <w:t>Thursday 14 May carries dual client-facing commitments: Aldwych SC (SVM lead) and Meridian status call at 14:00 BST (Scott lead). Status deck for Meridian must be with Helena Boerger by Wednesday evening.</w:t>
      </w:r>
    </w:p>
    <w:p>
      <w:pPr>
        <w:spacing w:before="80" w:after="80"/>
        <w:pBdr>
          <w:bottom w:val="single" w:sz="6" w:space="1" w:color="4472C4"/>
        </w:pBdr>
      </w:pPr>
    </w:p>
    <w:p>
      <w:pPr>
        <w:spacing w:before="160" w:after="80"/>
      </w:pPr>
      <w:r>
        <w:rPr>
          <w:b/>
          <w:color w:val="1F497D"/>
          <w:sz w:val="26"/>
        </w:rPr>
        <w:t>WEEKEND DEVELOPMENTS</w:t>
      </w:r>
    </w:p>
    <w:p>
      <w:pPr>
        <w:spacing w:before="0" w:after="80"/>
      </w:pPr>
      <w:r>
        <w:rPr>
          <w:b w:val="0"/>
          <w:i/>
          <w:sz w:val="20"/>
        </w:rPr>
        <w:t>Window: Friday 8 May 17:00 → Monday 10 May 07:00 BST</w:t>
      </w:r>
    </w:p>
    <w:p>
      <w:pPr>
        <w:pStyle w:val="ListBullet"/>
        <w:spacing w:before="0" w:after="40"/>
      </w:pPr>
      <w:r>
        <w:rPr>
          <w:b/>
          <w:sz w:val="20"/>
        </w:rPr>
        <w:t xml:space="preserve">Altissima (M17902.011) — </w:t>
      </w:r>
      <w:r>
        <w:rPr>
          <w:sz w:val="20"/>
        </w:rPr>
        <w:t>Phase 3 fee letter signed and returned by Sofia Esposito (GC, Altissima Energy) on Friday 8 May. Ben Okonkwo confirmed receipt. Phase 3 work (£185k fixed fee, contested proceedings) commences this week. [Source: b.okonkwo@firm.com internal note; s.esposito@altissimaenergy.it]</w:t>
      </w:r>
    </w:p>
    <w:p>
      <w:pPr>
        <w:pStyle w:val="ListBullet"/>
        <w:spacing w:before="0" w:after="40"/>
      </w:pPr>
      <w:r>
        <w:rPr>
          <w:b/>
          <w:sz w:val="20"/>
        </w:rPr>
        <w:t xml:space="preserve">Altissima (M17902.011) — </w:t>
      </w:r>
      <w:r>
        <w:rPr>
          <w:sz w:val="20"/>
        </w:rPr>
        <w:t>Cuatrecasas filed a pre-litigation notice with the Madrid Commercial Court on Wednesday 7 May — communicated by Alejandro Morales (Uría Menéndez, Madrid) Monday 10 May. Procedural step only, but confirms intent; formal proceedings expected within 4–6 weeks. Uría Menéndez recommends strategy call with MKT this week. [Source: a.morales@uriam.com]</w:t>
      </w:r>
    </w:p>
    <w:p>
      <w:pPr>
        <w:pStyle w:val="ListBullet"/>
        <w:spacing w:before="0" w:after="40"/>
      </w:pPr>
      <w:r>
        <w:rPr>
          <w:b/>
          <w:sz w:val="20"/>
        </w:rPr>
        <w:t xml:space="preserve">Nexus (M19330.004) — </w:t>
      </w:r>
      <w:r>
        <w:rPr>
          <w:sz w:val="20"/>
        </w:rPr>
        <w:t>EMA portal acknowledgement of supplementary response received from Thomas Brüggen (VP Regulatory Affairs, Nexus Life Sciences SA) over the weekend. Reference EMA/SUB/2026/0412. 60-day initial review window running from 5 May 2026. No action required — matter in post-submission monitoring. [Source: t.bruggen@nexuslifesciences.com]</w:t>
      </w:r>
    </w:p>
    <w:p>
      <w:pPr>
        <w:spacing w:before="80" w:after="80"/>
        <w:pBdr>
          <w:bottom w:val="single" w:sz="6" w:space="1" w:color="4472C4"/>
        </w:pBdr>
      </w:pPr>
    </w:p>
    <w:p>
      <w:pPr>
        <w:spacing w:before="160" w:after="80"/>
      </w:pPr>
      <w:r>
        <w:rPr>
          <w:b/>
          <w:color w:val="1F497D"/>
          <w:sz w:val="26"/>
        </w:rPr>
        <w:t>DELIVERABLES — DUE TODAY OR THIS WEEK</w:t>
      </w:r>
    </w:p>
    <w:p>
      <w:pPr>
        <w:spacing w:before="0" w:after="80"/>
      </w:pPr>
      <w:r>
        <w:rPr>
          <w:b w:val="0"/>
          <w:i/>
          <w:sz w:val="20"/>
        </w:rPr>
        <w:t>Ranked across the portfolio by urgency and impact. Items 1–2 require same-day action.</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340"/>
            <w:shd w:val="clear" w:color="auto" w:fill="D9E1F2"/>
            <w:vAlign w:val="center"/>
          </w:tcPr>
          <w:p>
            <w:pPr>
              <w:jc w:val="left"/>
            </w:pPr>
            <w:r>
              <w:rPr>
                <w:b/>
                <w:sz w:val="18"/>
              </w:rPr>
              <w:t>#</w:t>
            </w:r>
          </w:p>
        </w:tc>
        <w:tc>
          <w:tcPr>
            <w:tcW w:type="dxa" w:w="1587"/>
            <w:shd w:val="clear" w:color="auto" w:fill="D9E1F2"/>
            <w:vAlign w:val="center"/>
          </w:tcPr>
          <w:p>
            <w:pPr>
              <w:jc w:val="left"/>
            </w:pPr>
            <w:r>
              <w:rPr>
                <w:b/>
                <w:sz w:val="18"/>
              </w:rPr>
              <w:t>Matter</w:t>
            </w:r>
          </w:p>
        </w:tc>
        <w:tc>
          <w:tcPr>
            <w:tcW w:type="dxa" w:w="2154"/>
            <w:shd w:val="clear" w:color="auto" w:fill="D9E1F2"/>
            <w:vAlign w:val="center"/>
          </w:tcPr>
          <w:p>
            <w:pPr>
              <w:jc w:val="left"/>
            </w:pPr>
            <w:r>
              <w:rPr>
                <w:b/>
                <w:sz w:val="18"/>
              </w:rPr>
              <w:t>Deliverable</w:t>
            </w:r>
          </w:p>
        </w:tc>
        <w:tc>
          <w:tcPr>
            <w:tcW w:type="dxa" w:w="1417"/>
            <w:shd w:val="clear" w:color="auto" w:fill="D9E1F2"/>
            <w:vAlign w:val="center"/>
          </w:tcPr>
          <w:p>
            <w:pPr>
              <w:jc w:val="left"/>
            </w:pPr>
            <w:r>
              <w:rPr>
                <w:b/>
                <w:sz w:val="18"/>
              </w:rPr>
              <w:t>Owner</w:t>
            </w:r>
          </w:p>
        </w:tc>
        <w:tc>
          <w:tcPr>
            <w:tcW w:type="dxa" w:w="1701"/>
            <w:shd w:val="clear" w:color="auto" w:fill="D9E1F2"/>
            <w:vAlign w:val="center"/>
          </w:tcPr>
          <w:p>
            <w:pPr>
              <w:jc w:val="left"/>
            </w:pPr>
            <w:r>
              <w:rPr>
                <w:b/>
                <w:sz w:val="18"/>
              </w:rPr>
              <w:t>By when</w:t>
            </w:r>
          </w:p>
        </w:tc>
        <w:tc>
          <w:tcPr>
            <w:tcW w:type="dxa" w:w="2721"/>
            <w:shd w:val="clear" w:color="auto" w:fill="D9E1F2"/>
            <w:vAlign w:val="center"/>
          </w:tcPr>
          <w:p>
            <w:pPr>
              <w:jc w:val="left"/>
            </w:pPr>
            <w:r>
              <w:rPr>
                <w:b/>
                <w:sz w:val="18"/>
              </w:rPr>
              <w:t>Why this matters</w:t>
            </w:r>
          </w:p>
        </w:tc>
      </w:tr>
      <w:tr>
        <w:tc>
          <w:tcPr>
            <w:tcW w:type="dxa" w:w="340"/>
            <w:vAlign w:val="top"/>
          </w:tcPr>
          <w:p>
            <w:pPr>
              <w:jc w:val="left"/>
            </w:pPr>
            <w:r>
              <w:rPr>
                <w:sz w:val="18"/>
              </w:rPr>
              <w:t>1</w:t>
            </w:r>
          </w:p>
        </w:tc>
        <w:tc>
          <w:tcPr>
            <w:tcW w:type="dxa" w:w="1587"/>
            <w:vAlign w:val="top"/>
          </w:tcPr>
          <w:p>
            <w:pPr>
              <w:jc w:val="left"/>
            </w:pPr>
            <w:r>
              <w:rPr>
                <w:sz w:val="18"/>
              </w:rPr>
              <w:t>Aldwych (M18227.001)</w:t>
            </w:r>
          </w:p>
        </w:tc>
        <w:tc>
          <w:tcPr>
            <w:tcW w:type="dxa" w:w="2154"/>
            <w:vAlign w:val="top"/>
          </w:tcPr>
          <w:p>
            <w:pPr>
              <w:jc w:val="left"/>
            </w:pPr>
            <w:r>
              <w:rPr>
                <w:sz w:val="18"/>
              </w:rPr>
              <w:t>WIP flash → Marcus Lane</w:t>
            </w:r>
          </w:p>
        </w:tc>
        <w:tc>
          <w:tcPr>
            <w:tcW w:type="dxa" w:w="1417"/>
            <w:vAlign w:val="top"/>
          </w:tcPr>
          <w:p>
            <w:pPr>
              <w:jc w:val="left"/>
            </w:pPr>
            <w:r>
              <w:rPr>
                <w:sz w:val="18"/>
              </w:rPr>
              <w:t>Scott / Priya</w:t>
            </w:r>
          </w:p>
        </w:tc>
        <w:tc>
          <w:tcPr>
            <w:tcW w:type="dxa" w:w="1701"/>
            <w:vAlign w:val="top"/>
          </w:tcPr>
          <w:p>
            <w:pPr>
              <w:jc w:val="left"/>
            </w:pPr>
            <w:r>
              <w:rPr>
                <w:sz w:val="18"/>
              </w:rPr>
              <w:t>TODAY — 09:00 BST (OVERDUE)</w:t>
            </w:r>
          </w:p>
        </w:tc>
        <w:tc>
          <w:tcPr>
            <w:tcW w:type="dxa" w:w="2721"/>
            <w:vAlign w:val="top"/>
          </w:tcPr>
          <w:p>
            <w:pPr>
              <w:jc w:val="left"/>
            </w:pPr>
            <w:r>
              <w:rPr>
                <w:sz w:val="18"/>
              </w:rPr>
              <w:t>Agreed at Thursday 7 May SC. Marcus Lane specifically requested Mondays by 09:00. SC commitment, first instance.</w:t>
            </w:r>
          </w:p>
        </w:tc>
      </w:tr>
      <w:tr>
        <w:tc>
          <w:tcPr>
            <w:tcW w:type="dxa" w:w="340"/>
            <w:vAlign w:val="top"/>
          </w:tcPr>
          <w:p>
            <w:pPr>
              <w:jc w:val="left"/>
            </w:pPr>
            <w:r>
              <w:rPr>
                <w:sz w:val="18"/>
              </w:rPr>
              <w:t>2</w:t>
            </w:r>
          </w:p>
        </w:tc>
        <w:tc>
          <w:tcPr>
            <w:tcW w:type="dxa" w:w="1587"/>
            <w:vAlign w:val="top"/>
          </w:tcPr>
          <w:p>
            <w:pPr>
              <w:jc w:val="left"/>
            </w:pPr>
            <w:r>
              <w:rPr>
                <w:sz w:val="18"/>
              </w:rPr>
              <w:t>Meridian (M20481.002)</w:t>
            </w:r>
          </w:p>
        </w:tc>
        <w:tc>
          <w:tcPr>
            <w:tcW w:type="dxa" w:w="2154"/>
            <w:vAlign w:val="top"/>
          </w:tcPr>
          <w:p>
            <w:pPr>
              <w:jc w:val="left"/>
            </w:pPr>
            <w:r>
              <w:rPr>
                <w:sz w:val="18"/>
              </w:rPr>
              <w:t>JMW direction: Czech FDI filing + supervisory board communication framing</w:t>
            </w:r>
          </w:p>
        </w:tc>
        <w:tc>
          <w:tcPr>
            <w:tcW w:type="dxa" w:w="1417"/>
            <w:vAlign w:val="top"/>
          </w:tcPr>
          <w:p>
            <w:pPr>
              <w:jc w:val="left"/>
            </w:pPr>
            <w:r>
              <w:rPr>
                <w:sz w:val="18"/>
              </w:rPr>
              <w:t>JMW (direction) / Scott</w:t>
            </w:r>
          </w:p>
        </w:tc>
        <w:tc>
          <w:tcPr>
            <w:tcW w:type="dxa" w:w="1701"/>
            <w:vAlign w:val="top"/>
          </w:tcPr>
          <w:p>
            <w:pPr>
              <w:jc w:val="left"/>
            </w:pPr>
            <w:r>
              <w:rPr>
                <w:sz w:val="18"/>
              </w:rPr>
              <w:t>TODAY</w:t>
            </w:r>
          </w:p>
        </w:tc>
        <w:tc>
          <w:tcPr>
            <w:tcW w:type="dxa" w:w="2721"/>
            <w:vAlign w:val="top"/>
          </w:tcPr>
          <w:p>
            <w:pPr>
              <w:jc w:val="left"/>
            </w:pPr>
            <w:r>
              <w:rPr>
                <w:sz w:val="18"/>
              </w:rPr>
              <w:t>Aisha Khan confirmed FISA mandatory filing required. 40 working-day review window. Close at risk if filing not initiated within 2 weeks. Aisha holding for JMW direction.</w:t>
            </w:r>
          </w:p>
        </w:tc>
      </w:tr>
      <w:tr>
        <w:tc>
          <w:tcPr>
            <w:tcW w:type="dxa" w:w="340"/>
            <w:vAlign w:val="top"/>
          </w:tcPr>
          <w:p>
            <w:pPr>
              <w:jc w:val="left"/>
            </w:pPr>
            <w:r>
              <w:rPr>
                <w:sz w:val="18"/>
              </w:rPr>
              <w:t>3</w:t>
            </w:r>
          </w:p>
        </w:tc>
        <w:tc>
          <w:tcPr>
            <w:tcW w:type="dxa" w:w="1587"/>
            <w:vAlign w:val="top"/>
          </w:tcPr>
          <w:p>
            <w:pPr>
              <w:jc w:val="left"/>
            </w:pPr>
            <w:r>
              <w:rPr>
                <w:sz w:val="18"/>
              </w:rPr>
              <w:t>Altissima (M17902.011)</w:t>
            </w:r>
          </w:p>
        </w:tc>
        <w:tc>
          <w:tcPr>
            <w:tcW w:type="dxa" w:w="2154"/>
            <w:vAlign w:val="top"/>
          </w:tcPr>
          <w:p>
            <w:pPr>
              <w:jc w:val="left"/>
            </w:pPr>
            <w:r>
              <w:rPr>
                <w:sz w:val="18"/>
              </w:rPr>
              <w:t>Uría Menéndez strategy call confirmed (Wed 13 May)</w:t>
            </w:r>
          </w:p>
        </w:tc>
        <w:tc>
          <w:tcPr>
            <w:tcW w:type="dxa" w:w="1417"/>
            <w:vAlign w:val="top"/>
          </w:tcPr>
          <w:p>
            <w:pPr>
              <w:jc w:val="left"/>
            </w:pPr>
            <w:r>
              <w:rPr>
                <w:sz w:val="18"/>
              </w:rPr>
              <w:t>Ben Okonkwo / MKT</w:t>
            </w:r>
          </w:p>
        </w:tc>
        <w:tc>
          <w:tcPr>
            <w:tcW w:type="dxa" w:w="1701"/>
            <w:vAlign w:val="top"/>
          </w:tcPr>
          <w:p>
            <w:pPr>
              <w:jc w:val="left"/>
            </w:pPr>
            <w:r>
              <w:rPr>
                <w:sz w:val="18"/>
              </w:rPr>
              <w:t>Wednesday 13 May</w:t>
            </w:r>
          </w:p>
        </w:tc>
        <w:tc>
          <w:tcPr>
            <w:tcW w:type="dxa" w:w="2721"/>
            <w:vAlign w:val="top"/>
          </w:tcPr>
          <w:p>
            <w:pPr>
              <w:jc w:val="left"/>
            </w:pPr>
            <w:r>
              <w:rPr>
                <w:sz w:val="18"/>
              </w:rPr>
              <w:t>Cuatrecasas pre-litigation notice filed 7 May. 4–6 week countdown to formal proceedings. Alejandro Morales recommends call urgently. MKT briefed.</w:t>
            </w:r>
          </w:p>
        </w:tc>
      </w:tr>
      <w:tr>
        <w:tc>
          <w:tcPr>
            <w:tcW w:type="dxa" w:w="340"/>
            <w:vAlign w:val="top"/>
          </w:tcPr>
          <w:p>
            <w:pPr>
              <w:jc w:val="left"/>
            </w:pPr>
            <w:r>
              <w:rPr>
                <w:sz w:val="18"/>
              </w:rPr>
              <w:t>4</w:t>
            </w:r>
          </w:p>
        </w:tc>
        <w:tc>
          <w:tcPr>
            <w:tcW w:type="dxa" w:w="1587"/>
            <w:vAlign w:val="top"/>
          </w:tcPr>
          <w:p>
            <w:pPr>
              <w:jc w:val="left"/>
            </w:pPr>
            <w:r>
              <w:rPr>
                <w:sz w:val="18"/>
              </w:rPr>
              <w:t>Altissima (M17902.011)</w:t>
            </w:r>
          </w:p>
        </w:tc>
        <w:tc>
          <w:tcPr>
            <w:tcW w:type="dxa" w:w="2154"/>
            <w:vAlign w:val="top"/>
          </w:tcPr>
          <w:p>
            <w:pPr>
              <w:jc w:val="left"/>
            </w:pPr>
            <w:r>
              <w:rPr>
                <w:sz w:val="18"/>
              </w:rPr>
              <w:t>Client call with Sofia Esposito — Phase 3 timeline + Cuatrecasas outlook</w:t>
            </w:r>
          </w:p>
        </w:tc>
        <w:tc>
          <w:tcPr>
            <w:tcW w:type="dxa" w:w="1417"/>
            <w:vAlign w:val="top"/>
          </w:tcPr>
          <w:p>
            <w:pPr>
              <w:jc w:val="left"/>
            </w:pPr>
            <w:r>
              <w:rPr>
                <w:sz w:val="18"/>
              </w:rPr>
              <w:t>Ben Okonkwo</w:t>
            </w:r>
          </w:p>
        </w:tc>
        <w:tc>
          <w:tcPr>
            <w:tcW w:type="dxa" w:w="1701"/>
            <w:vAlign w:val="top"/>
          </w:tcPr>
          <w:p>
            <w:pPr>
              <w:jc w:val="left"/>
            </w:pPr>
            <w:r>
              <w:rPr>
                <w:sz w:val="18"/>
              </w:rPr>
              <w:t>This week</w:t>
            </w:r>
          </w:p>
        </w:tc>
        <w:tc>
          <w:tcPr>
            <w:tcW w:type="dxa" w:w="2721"/>
            <w:vAlign w:val="top"/>
          </w:tcPr>
          <w:p>
            <w:pPr>
              <w:jc w:val="left"/>
            </w:pPr>
            <w:r>
              <w:rPr>
                <w:sz w:val="18"/>
              </w:rPr>
              <w:t>Sofia Esposito specifically requested call on Phase 3 timeline and what to expect from Cuatrecasas in near term. Phase 3 just launched.</w:t>
            </w:r>
          </w:p>
        </w:tc>
      </w:tr>
      <w:tr>
        <w:tc>
          <w:tcPr>
            <w:tcW w:type="dxa" w:w="340"/>
            <w:vAlign w:val="top"/>
          </w:tcPr>
          <w:p>
            <w:pPr>
              <w:jc w:val="left"/>
            </w:pPr>
            <w:r>
              <w:rPr>
                <w:sz w:val="18"/>
              </w:rPr>
              <w:t>5</w:t>
            </w:r>
          </w:p>
        </w:tc>
        <w:tc>
          <w:tcPr>
            <w:tcW w:type="dxa" w:w="1587"/>
            <w:vAlign w:val="top"/>
          </w:tcPr>
          <w:p>
            <w:pPr>
              <w:jc w:val="left"/>
            </w:pPr>
            <w:r>
              <w:rPr>
                <w:sz w:val="18"/>
              </w:rPr>
              <w:t>Meridian (M20481.002)</w:t>
            </w:r>
          </w:p>
        </w:tc>
        <w:tc>
          <w:tcPr>
            <w:tcW w:type="dxa" w:w="2154"/>
            <w:vAlign w:val="top"/>
          </w:tcPr>
          <w:p>
            <w:pPr>
              <w:jc w:val="left"/>
            </w:pPr>
            <w:r>
              <w:rPr>
                <w:sz w:val="18"/>
              </w:rPr>
              <w:t>Status deck → Helena Boerger (Meridian Industrial Treasury)</w:t>
            </w:r>
          </w:p>
        </w:tc>
        <w:tc>
          <w:tcPr>
            <w:tcW w:type="dxa" w:w="1417"/>
            <w:vAlign w:val="top"/>
          </w:tcPr>
          <w:p>
            <w:pPr>
              <w:jc w:val="left"/>
            </w:pPr>
            <w:r>
              <w:rPr>
                <w:sz w:val="18"/>
              </w:rPr>
              <w:t>Scott</w:t>
            </w:r>
          </w:p>
        </w:tc>
        <w:tc>
          <w:tcPr>
            <w:tcW w:type="dxa" w:w="1701"/>
            <w:vAlign w:val="top"/>
          </w:tcPr>
          <w:p>
            <w:pPr>
              <w:jc w:val="left"/>
            </w:pPr>
            <w:r>
              <w:rPr>
                <w:sz w:val="18"/>
              </w:rPr>
              <w:t>Wednesday 13 May (evening)</w:t>
            </w:r>
          </w:p>
        </w:tc>
        <w:tc>
          <w:tcPr>
            <w:tcW w:type="dxa" w:w="2721"/>
            <w:vAlign w:val="top"/>
          </w:tcPr>
          <w:p>
            <w:pPr>
              <w:jc w:val="left"/>
            </w:pPr>
            <w:r>
              <w:rPr>
                <w:sz w:val="18"/>
              </w:rPr>
              <w:t>Client confirmed Thursday 14 May 14:00 BST status call. Helena Boerger asked to receive deck Wednesday evening for review in advance.</w:t>
            </w:r>
          </w:p>
        </w:tc>
      </w:tr>
      <w:tr>
        <w:tc>
          <w:tcPr>
            <w:tcW w:type="dxa" w:w="340"/>
            <w:vAlign w:val="top"/>
          </w:tcPr>
          <w:p>
            <w:pPr>
              <w:jc w:val="left"/>
            </w:pPr>
            <w:r>
              <w:rPr>
                <w:sz w:val="18"/>
              </w:rPr>
              <w:t>6</w:t>
            </w:r>
          </w:p>
        </w:tc>
        <w:tc>
          <w:tcPr>
            <w:tcW w:type="dxa" w:w="1587"/>
            <w:vAlign w:val="top"/>
          </w:tcPr>
          <w:p>
            <w:pPr>
              <w:jc w:val="left"/>
            </w:pPr>
            <w:r>
              <w:rPr>
                <w:sz w:val="18"/>
              </w:rPr>
              <w:t>Westcliff (M20118.003)</w:t>
            </w:r>
          </w:p>
        </w:tc>
        <w:tc>
          <w:tcPr>
            <w:tcW w:type="dxa" w:w="2154"/>
            <w:vAlign w:val="top"/>
          </w:tcPr>
          <w:p>
            <w:pPr>
              <w:jc w:val="left"/>
            </w:pPr>
            <w:r>
              <w:rPr>
                <w:sz w:val="18"/>
              </w:rPr>
              <w:t>LP MFN memo → AHL review before QPEPP call</w:t>
            </w:r>
          </w:p>
        </w:tc>
        <w:tc>
          <w:tcPr>
            <w:tcW w:type="dxa" w:w="1417"/>
            <w:vAlign w:val="top"/>
          </w:tcPr>
          <w:p>
            <w:pPr>
              <w:jc w:val="left"/>
            </w:pPr>
            <w:r>
              <w:rPr>
                <w:sz w:val="18"/>
              </w:rPr>
              <w:t>AHL (review)</w:t>
            </w:r>
          </w:p>
        </w:tc>
        <w:tc>
          <w:tcPr>
            <w:tcW w:type="dxa" w:w="1701"/>
            <w:vAlign w:val="top"/>
          </w:tcPr>
          <w:p>
            <w:pPr>
              <w:jc w:val="left"/>
            </w:pPr>
            <w:r>
              <w:rPr>
                <w:sz w:val="18"/>
              </w:rPr>
              <w:t>Before QPEPP call [date TBC]</w:t>
            </w:r>
          </w:p>
        </w:tc>
        <w:tc>
          <w:tcPr>
            <w:tcW w:type="dxa" w:w="2721"/>
            <w:vAlign w:val="top"/>
          </w:tcPr>
          <w:p>
            <w:pPr>
              <w:jc w:val="left"/>
            </w:pPr>
            <w:r>
              <w:rPr>
                <w:sz w:val="18"/>
              </w:rPr>
              <w:t>Supplementary analysis shows 3 Fund IV LPs (22% committed capital) have MFN provisions broad enough to capture QPEPP accommodation. Tiered trigger + ESG-specificity drafting approach recommended. LPA amendment draft due JB Remillard 22 May.</w:t>
            </w:r>
          </w:p>
        </w:tc>
      </w:tr>
      <w:tr>
        <w:tc>
          <w:tcPr>
            <w:tcW w:type="dxa" w:w="340"/>
            <w:vAlign w:val="top"/>
          </w:tcPr>
          <w:p>
            <w:pPr>
              <w:jc w:val="left"/>
            </w:pPr>
            <w:r>
              <w:rPr>
                <w:sz w:val="18"/>
              </w:rPr>
              <w:t>7</w:t>
            </w:r>
          </w:p>
        </w:tc>
        <w:tc>
          <w:tcPr>
            <w:tcW w:type="dxa" w:w="1587"/>
            <w:vAlign w:val="top"/>
          </w:tcPr>
          <w:p>
            <w:pPr>
              <w:jc w:val="left"/>
            </w:pPr>
            <w:r>
              <w:rPr>
                <w:sz w:val="18"/>
              </w:rPr>
              <w:t>Aldwych (M18227.001)</w:t>
            </w:r>
          </w:p>
        </w:tc>
        <w:tc>
          <w:tcPr>
            <w:tcW w:type="dxa" w:w="2154"/>
            <w:vAlign w:val="top"/>
          </w:tcPr>
          <w:p>
            <w:pPr>
              <w:jc w:val="left"/>
            </w:pPr>
            <w:r>
              <w:rPr>
                <w:sz w:val="18"/>
              </w:rPr>
              <w:t>SC briefing note → SVM overnight review</w:t>
            </w:r>
          </w:p>
        </w:tc>
        <w:tc>
          <w:tcPr>
            <w:tcW w:type="dxa" w:w="1417"/>
            <w:vAlign w:val="top"/>
          </w:tcPr>
          <w:p>
            <w:pPr>
              <w:jc w:val="left"/>
            </w:pPr>
            <w:r>
              <w:rPr>
                <w:sz w:val="18"/>
              </w:rPr>
              <w:t>Priya Ramanathan (note ready)</w:t>
            </w:r>
          </w:p>
        </w:tc>
        <w:tc>
          <w:tcPr>
            <w:tcW w:type="dxa" w:w="1701"/>
            <w:vAlign w:val="top"/>
          </w:tcPr>
          <w:p>
            <w:pPr>
              <w:jc w:val="left"/>
            </w:pPr>
            <w:r>
              <w:rPr>
                <w:sz w:val="18"/>
              </w:rPr>
              <w:t>Tonight / Tuesday 12 May</w:t>
            </w:r>
          </w:p>
        </w:tc>
        <w:tc>
          <w:tcPr>
            <w:tcW w:type="dxa" w:w="2721"/>
            <w:vAlign w:val="top"/>
          </w:tcPr>
          <w:p>
            <w:pPr>
              <w:jc w:val="left"/>
            </w:pPr>
            <w:r>
              <w:rPr>
                <w:sz w:val="18"/>
              </w:rPr>
              <w:t>Note drafted by Priya and sent to Scott this morning. Indemnification cap at round 2 (buyer 10%, Cleary 15% EV). Thursday 14 May SC.</w:t>
            </w:r>
          </w:p>
        </w:tc>
      </w:tr>
      <w:tr>
        <w:tc>
          <w:tcPr>
            <w:tcW w:type="dxa" w:w="340"/>
            <w:vAlign w:val="top"/>
          </w:tcPr>
          <w:p>
            <w:pPr>
              <w:jc w:val="left"/>
            </w:pPr>
            <w:r>
              <w:rPr>
                <w:sz w:val="18"/>
              </w:rPr>
              <w:t>8</w:t>
            </w:r>
          </w:p>
        </w:tc>
        <w:tc>
          <w:tcPr>
            <w:tcW w:type="dxa" w:w="1587"/>
            <w:vAlign w:val="top"/>
          </w:tcPr>
          <w:p>
            <w:pPr>
              <w:jc w:val="left"/>
            </w:pPr>
            <w:r>
              <w:rPr>
                <w:sz w:val="18"/>
              </w:rPr>
              <w:t>Hartwick (M20602.001)</w:t>
            </w:r>
          </w:p>
        </w:tc>
        <w:tc>
          <w:tcPr>
            <w:tcW w:type="dxa" w:w="2154"/>
            <w:vAlign w:val="top"/>
          </w:tcPr>
          <w:p>
            <w:pPr>
              <w:jc w:val="left"/>
            </w:pPr>
            <w:r>
              <w:rPr>
                <w:sz w:val="18"/>
              </w:rPr>
              <w:t>Framework agreement call scheduled with Catherine Dell</w:t>
            </w:r>
          </w:p>
        </w:tc>
        <w:tc>
          <w:tcPr>
            <w:tcW w:type="dxa" w:w="1417"/>
            <w:vAlign w:val="top"/>
          </w:tcPr>
          <w:p>
            <w:pPr>
              <w:jc w:val="left"/>
            </w:pPr>
            <w:r>
              <w:rPr>
                <w:sz w:val="18"/>
              </w:rPr>
              <w:t>SVM (lead) / Ben Okonkwo (brief)</w:t>
            </w:r>
          </w:p>
        </w:tc>
        <w:tc>
          <w:tcPr>
            <w:tcW w:type="dxa" w:w="1701"/>
            <w:vAlign w:val="top"/>
          </w:tcPr>
          <w:p>
            <w:pPr>
              <w:jc w:val="left"/>
            </w:pPr>
            <w:r>
              <w:rPr>
                <w:sz w:val="18"/>
              </w:rPr>
              <w:t>Week of 18 May (client preference)</w:t>
            </w:r>
          </w:p>
        </w:tc>
        <w:tc>
          <w:tcPr>
            <w:tcW w:type="dxa" w:w="2721"/>
            <w:vAlign w:val="top"/>
          </w:tcPr>
          <w:p>
            <w:pPr>
              <w:jc w:val="left"/>
            </w:pPr>
            <w:r>
              <w:rPr>
                <w:sz w:val="18"/>
              </w:rPr>
              <w:t>Catherine Dell (Head of Exits) confirmed sub-£150m tier works; 3 assets in range. SVM to lead; Ben to brief SVM ahead of call.</w:t>
            </w:r>
          </w:p>
        </w:tc>
      </w:tr>
    </w:tbl>
    <w:p>
      <w:pPr>
        <w:spacing w:before="80" w:after="80"/>
        <w:pBdr>
          <w:bottom w:val="single" w:sz="6" w:space="1" w:color="4472C4"/>
        </w:pBdr>
      </w:pPr>
    </w:p>
    <w:p>
      <w:pPr>
        <w:spacing w:before="160" w:after="80"/>
      </w:pPr>
      <w:r>
        <w:rPr>
          <w:b/>
          <w:color w:val="1F497D"/>
          <w:sz w:val="26"/>
        </w:rPr>
        <w:t>ISSUES — CURRENT</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587"/>
            <w:shd w:val="clear" w:color="auto" w:fill="D9E1F2"/>
            <w:vAlign w:val="center"/>
          </w:tcPr>
          <w:p>
            <w:pPr>
              <w:jc w:val="left"/>
            </w:pPr>
            <w:r>
              <w:rPr>
                <w:b/>
                <w:sz w:val="18"/>
              </w:rPr>
              <w:t>Matter</w:t>
            </w:r>
          </w:p>
        </w:tc>
        <w:tc>
          <w:tcPr>
            <w:tcW w:type="dxa" w:w="2268"/>
            <w:shd w:val="clear" w:color="auto" w:fill="D9E1F2"/>
            <w:vAlign w:val="center"/>
          </w:tcPr>
          <w:p>
            <w:pPr>
              <w:jc w:val="left"/>
            </w:pPr>
            <w:r>
              <w:rPr>
                <w:b/>
                <w:sz w:val="18"/>
              </w:rPr>
              <w:t>Issue</w:t>
            </w:r>
          </w:p>
        </w:tc>
        <w:tc>
          <w:tcPr>
            <w:tcW w:type="dxa" w:w="1984"/>
            <w:shd w:val="clear" w:color="auto" w:fill="D9E1F2"/>
            <w:vAlign w:val="center"/>
          </w:tcPr>
          <w:p>
            <w:pPr>
              <w:jc w:val="left"/>
            </w:pPr>
            <w:r>
              <w:rPr>
                <w:b/>
                <w:sz w:val="18"/>
              </w:rPr>
              <w:t>Status</w:t>
            </w:r>
          </w:p>
        </w:tc>
        <w:tc>
          <w:tcPr>
            <w:tcW w:type="dxa" w:w="4082"/>
            <w:shd w:val="clear" w:color="auto" w:fill="D9E1F2"/>
            <w:vAlign w:val="center"/>
          </w:tcPr>
          <w:p>
            <w:pPr>
              <w:jc w:val="left"/>
            </w:pPr>
            <w:r>
              <w:rPr>
                <w:b/>
                <w:sz w:val="18"/>
              </w:rPr>
              <w:t>Context for action</w:t>
            </w:r>
          </w:p>
        </w:tc>
      </w:tr>
      <w:tr>
        <w:tc>
          <w:tcPr>
            <w:tcW w:type="dxa" w:w="1587"/>
            <w:vAlign w:val="top"/>
          </w:tcPr>
          <w:p>
            <w:pPr>
              <w:jc w:val="left"/>
            </w:pPr>
            <w:r>
              <w:rPr>
                <w:sz w:val="18"/>
              </w:rPr>
              <w:t>Aldwych (M18227.001)</w:t>
            </w:r>
          </w:p>
        </w:tc>
        <w:tc>
          <w:tcPr>
            <w:tcW w:type="dxa" w:w="2268"/>
            <w:vAlign w:val="top"/>
          </w:tcPr>
          <w:p>
            <w:pPr>
              <w:jc w:val="left"/>
            </w:pPr>
            <w:r>
              <w:rPr>
                <w:sz w:val="18"/>
              </w:rPr>
              <w:t>WIP flash to Marcus Lane overdue</w:t>
            </w:r>
          </w:p>
        </w:tc>
        <w:tc>
          <w:tcPr>
            <w:tcW w:type="dxa" w:w="1984"/>
            <w:vAlign w:val="top"/>
          </w:tcPr>
          <w:p>
            <w:pPr>
              <w:jc w:val="left"/>
            </w:pPr>
            <w:r>
              <w:rPr>
                <w:sz w:val="18"/>
              </w:rPr>
              <w:t>Overdue — agreed Mon 09:00, now 14:15 BST</w:t>
            </w:r>
          </w:p>
        </w:tc>
        <w:tc>
          <w:tcPr>
            <w:tcW w:type="dxa" w:w="4082"/>
            <w:vAlign w:val="top"/>
          </w:tcPr>
          <w:p>
            <w:pPr>
              <w:jc w:val="left"/>
            </w:pPr>
            <w:r>
              <w:rPr>
                <w:sz w:val="18"/>
              </w:rPr>
              <w:t>Priya Ramanathan agreed at 7 May SC to send a weekly WIP flash to Marcus Lane on Mondays by 09:00. First instance missed. Action: Priya to send immediately; Scott to confirm delivery.</w:t>
            </w:r>
          </w:p>
        </w:tc>
      </w:tr>
      <w:tr>
        <w:tc>
          <w:tcPr>
            <w:tcW w:type="dxa" w:w="1587"/>
            <w:vAlign w:val="top"/>
          </w:tcPr>
          <w:p>
            <w:pPr>
              <w:jc w:val="left"/>
            </w:pPr>
            <w:r>
              <w:rPr>
                <w:sz w:val="18"/>
              </w:rPr>
              <w:t>Meridian (M20481.002)</w:t>
            </w:r>
          </w:p>
        </w:tc>
        <w:tc>
          <w:tcPr>
            <w:tcW w:type="dxa" w:w="2268"/>
            <w:vAlign w:val="top"/>
          </w:tcPr>
          <w:p>
            <w:pPr>
              <w:jc w:val="left"/>
            </w:pPr>
            <w:r>
              <w:rPr>
                <w:sz w:val="18"/>
              </w:rPr>
              <w:t>Czech FDI — mandatory FISA filing required; supervisory board communication direction outstanding</w:t>
            </w:r>
          </w:p>
        </w:tc>
        <w:tc>
          <w:tcPr>
            <w:tcW w:type="dxa" w:w="1984"/>
            <w:vAlign w:val="top"/>
          </w:tcPr>
          <w:p>
            <w:pPr>
              <w:jc w:val="left"/>
            </w:pPr>
            <w:r>
              <w:rPr>
                <w:sz w:val="18"/>
              </w:rPr>
              <w:t>JMW direction outstanding — Aisha Khan holding</w:t>
            </w:r>
          </w:p>
        </w:tc>
        <w:tc>
          <w:tcPr>
            <w:tcW w:type="dxa" w:w="4082"/>
            <w:vAlign w:val="top"/>
          </w:tcPr>
          <w:p>
            <w:pPr>
              <w:jc w:val="left"/>
            </w:pPr>
            <w:r>
              <w:rPr>
                <w:sz w:val="18"/>
              </w:rPr>
              <w:t>MeridianCZ Robotics confirmed to fall within amended FISA scope (defence-adjacent sensor tech). Mandatory pre-close filing required. 40 working-day review window puts close at risk if filing not initiated within 2 weeks from today. Aisha Khan has NOT communicated to supervisory board — holding for JMW direction on timing and framing as agreed. Action: JMW to direct today.</w:t>
            </w:r>
          </w:p>
        </w:tc>
      </w:tr>
      <w:tr>
        <w:tc>
          <w:tcPr>
            <w:tcW w:type="dxa" w:w="1587"/>
            <w:vAlign w:val="top"/>
          </w:tcPr>
          <w:p>
            <w:pPr>
              <w:jc w:val="left"/>
            </w:pPr>
            <w:r>
              <w:rPr>
                <w:sz w:val="18"/>
              </w:rPr>
              <w:t>Meridian (M20481.002)</w:t>
            </w:r>
          </w:p>
        </w:tc>
        <w:tc>
          <w:tcPr>
            <w:tcW w:type="dxa" w:w="2268"/>
            <w:vAlign w:val="top"/>
          </w:tcPr>
          <w:p>
            <w:pPr>
              <w:jc w:val="left"/>
            </w:pPr>
            <w:r>
              <w:rPr>
                <w:sz w:val="18"/>
              </w:rPr>
              <w:t>Polish LC non-response — Warsaw transfer pricing query outstanding 38 days</w:t>
            </w:r>
          </w:p>
        </w:tc>
        <w:tc>
          <w:tcPr>
            <w:tcW w:type="dxa" w:w="1984"/>
            <w:vAlign w:val="top"/>
          </w:tcPr>
          <w:p>
            <w:pPr>
              <w:jc w:val="left"/>
            </w:pPr>
            <w:r>
              <w:rPr>
                <w:sz w:val="18"/>
              </w:rPr>
              <w:t>JMW spoke with Warsaw MP; revert promised end of week; escalation trigger Thu COB</w:t>
            </w:r>
          </w:p>
        </w:tc>
        <w:tc>
          <w:tcPr>
            <w:tcW w:type="dxa" w:w="4082"/>
            <w:vAlign w:val="top"/>
          </w:tcPr>
          <w:p>
            <w:pPr>
              <w:jc w:val="left"/>
            </w:pPr>
            <w:r>
              <w:rPr>
                <w:sz w:val="18"/>
              </w:rPr>
              <w:t>Query submitted to Warsaw LC 2 April. No substantive response until JMW called MP direct. Warsaw confirmed query with their tax team and apologised. JMW instruction: if no revert by Thursday 14 May COB, escalate to next name on LC panel. Action: Scott to monitor Thursday COB and action escalation if needed.</w:t>
            </w:r>
          </w:p>
        </w:tc>
      </w:tr>
      <w:tr>
        <w:tc>
          <w:tcPr>
            <w:tcW w:type="dxa" w:w="1587"/>
            <w:vAlign w:val="top"/>
          </w:tcPr>
          <w:p>
            <w:pPr>
              <w:jc w:val="left"/>
            </w:pPr>
            <w:r>
              <w:rPr>
                <w:sz w:val="18"/>
              </w:rPr>
              <w:t>Meridian (M20481.002)</w:t>
            </w:r>
          </w:p>
        </w:tc>
        <w:tc>
          <w:tcPr>
            <w:tcW w:type="dxa" w:w="2268"/>
            <w:vAlign w:val="top"/>
          </w:tcPr>
          <w:p>
            <w:pPr>
              <w:jc w:val="left"/>
            </w:pPr>
            <w:r>
              <w:rPr>
                <w:sz w:val="18"/>
              </w:rPr>
              <w:t>Italian RE workstream blocked — fee amendment countersignature outstanding</w:t>
            </w:r>
          </w:p>
        </w:tc>
        <w:tc>
          <w:tcPr>
            <w:tcW w:type="dxa" w:w="1984"/>
            <w:vAlign w:val="top"/>
          </w:tcPr>
          <w:p>
            <w:pPr>
              <w:jc w:val="left"/>
            </w:pPr>
            <w:r>
              <w:rPr>
                <w:sz w:val="18"/>
              </w:rPr>
              <w:t>Amendment sent; countersignature awaited from Wolfgang Steiner (expected end of week)</w:t>
            </w:r>
          </w:p>
        </w:tc>
        <w:tc>
          <w:tcPr>
            <w:tcW w:type="dxa" w:w="4082"/>
            <w:vAlign w:val="top"/>
          </w:tcPr>
          <w:p>
            <w:pPr>
              <w:jc w:val="left"/>
            </w:pPr>
            <w:r>
              <w:rPr>
                <w:sz w:val="18"/>
              </w:rPr>
              <w:t>Scott sent fee letter amendment to Wolfgang Steiner (Meridian) for Italian RE workstream (£85k additional fixed fee). Team instructed no Italian RE work until signed. Expected return: end of this week per Wolfgang's assistant. Action: Chase Friday if not returned Thursday.</w:t>
            </w:r>
          </w:p>
        </w:tc>
      </w:tr>
      <w:tr>
        <w:tc>
          <w:tcPr>
            <w:tcW w:type="dxa" w:w="1587"/>
            <w:vAlign w:val="top"/>
          </w:tcPr>
          <w:p>
            <w:pPr>
              <w:jc w:val="left"/>
            </w:pPr>
            <w:r>
              <w:rPr>
                <w:sz w:val="18"/>
              </w:rPr>
              <w:t>Altissima (M17902.011)</w:t>
            </w:r>
          </w:p>
        </w:tc>
        <w:tc>
          <w:tcPr>
            <w:tcW w:type="dxa" w:w="2268"/>
            <w:vAlign w:val="top"/>
          </w:tcPr>
          <w:p>
            <w:pPr>
              <w:jc w:val="left"/>
            </w:pPr>
            <w:r>
              <w:rPr>
                <w:sz w:val="18"/>
              </w:rPr>
              <w:t>Cuatrecasas pre-litigation notice filed — strategy call not yet confirmed</w:t>
            </w:r>
          </w:p>
        </w:tc>
        <w:tc>
          <w:tcPr>
            <w:tcW w:type="dxa" w:w="1984"/>
            <w:vAlign w:val="top"/>
          </w:tcPr>
          <w:p>
            <w:pPr>
              <w:jc w:val="left"/>
            </w:pPr>
            <w:r>
              <w:rPr>
                <w:sz w:val="18"/>
              </w:rPr>
              <w:t>Call being scheduled; not yet confirmed</w:t>
            </w:r>
          </w:p>
        </w:tc>
        <w:tc>
          <w:tcPr>
            <w:tcW w:type="dxa" w:w="4082"/>
            <w:vAlign w:val="top"/>
          </w:tcPr>
          <w:p>
            <w:pPr>
              <w:jc w:val="left"/>
            </w:pPr>
            <w:r>
              <w:rPr>
                <w:sz w:val="18"/>
              </w:rPr>
              <w:t>Cuatrecasas filed pre-litigation notice with Madrid Commercial Court 7 May. Formal proceedings expected within 4–6 weeks. Ben Okonkwo flagged Wednesday strategy call with Uría Menéndez — not yet confirmed as of this briefing. Action: Ben to confirm Wednesday slot with MKT and Alejandro Morales today.</w:t>
            </w:r>
          </w:p>
        </w:tc>
      </w:tr>
    </w:tbl>
    <w:p>
      <w:pPr>
        <w:spacing w:before="80" w:after="80"/>
        <w:pBdr>
          <w:bottom w:val="single" w:sz="6" w:space="1" w:color="4472C4"/>
        </w:pBdr>
      </w:pPr>
    </w:p>
    <w:p>
      <w:pPr>
        <w:spacing w:before="160" w:after="80"/>
      </w:pPr>
      <w:r>
        <w:rPr>
          <w:b/>
          <w:color w:val="1F497D"/>
          <w:sz w:val="26"/>
        </w:rPr>
        <w:t>RISKS — PLAUSIBLE FUTURE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587"/>
            <w:shd w:val="clear" w:color="auto" w:fill="D9E1F2"/>
            <w:vAlign w:val="center"/>
          </w:tcPr>
          <w:p>
            <w:pPr>
              <w:jc w:val="left"/>
            </w:pPr>
            <w:r>
              <w:rPr>
                <w:b/>
                <w:sz w:val="18"/>
              </w:rPr>
              <w:t>Matter</w:t>
            </w:r>
          </w:p>
        </w:tc>
        <w:tc>
          <w:tcPr>
            <w:tcW w:type="dxa" w:w="2268"/>
            <w:shd w:val="clear" w:color="auto" w:fill="D9E1F2"/>
            <w:vAlign w:val="center"/>
          </w:tcPr>
          <w:p>
            <w:pPr>
              <w:jc w:val="left"/>
            </w:pPr>
            <w:r>
              <w:rPr>
                <w:b/>
                <w:sz w:val="18"/>
              </w:rPr>
              <w:t>Risk</w:t>
            </w:r>
          </w:p>
        </w:tc>
        <w:tc>
          <w:tcPr>
            <w:tcW w:type="dxa" w:w="2551"/>
            <w:shd w:val="clear" w:color="auto" w:fill="D9E1F2"/>
            <w:vAlign w:val="center"/>
          </w:tcPr>
          <w:p>
            <w:pPr>
              <w:jc w:val="left"/>
            </w:pPr>
            <w:r>
              <w:rPr>
                <w:b/>
                <w:sz w:val="18"/>
              </w:rPr>
              <w:t>Signal</w:t>
            </w:r>
          </w:p>
        </w:tc>
        <w:tc>
          <w:tcPr>
            <w:tcW w:type="dxa" w:w="3515"/>
            <w:shd w:val="clear" w:color="auto" w:fill="D9E1F2"/>
            <w:vAlign w:val="center"/>
          </w:tcPr>
          <w:p>
            <w:pPr>
              <w:jc w:val="left"/>
            </w:pPr>
            <w:r>
              <w:rPr>
                <w:b/>
                <w:sz w:val="18"/>
              </w:rPr>
              <w:t>Mitigation context</w:t>
            </w:r>
          </w:p>
        </w:tc>
      </w:tr>
      <w:tr>
        <w:tc>
          <w:tcPr>
            <w:tcW w:type="dxa" w:w="1587"/>
            <w:vAlign w:val="top"/>
          </w:tcPr>
          <w:p>
            <w:pPr>
              <w:jc w:val="left"/>
            </w:pPr>
            <w:r>
              <w:rPr>
                <w:sz w:val="18"/>
              </w:rPr>
              <w:t>Aldwych (M18227.001)</w:t>
            </w:r>
          </w:p>
        </w:tc>
        <w:tc>
          <w:tcPr>
            <w:tcW w:type="dxa" w:w="2268"/>
            <w:vAlign w:val="top"/>
          </w:tcPr>
          <w:p>
            <w:pPr>
              <w:jc w:val="left"/>
            </w:pPr>
            <w:r>
              <w:rPr>
                <w:sz w:val="18"/>
              </w:rPr>
              <w:t>PTAB institution decision on USPTO IPR before SPA signing</w:t>
            </w:r>
          </w:p>
        </w:tc>
        <w:tc>
          <w:tcPr>
            <w:tcW w:type="dxa" w:w="2551"/>
            <w:vAlign w:val="top"/>
          </w:tcPr>
          <w:p>
            <w:pPr>
              <w:jc w:val="left"/>
            </w:pPr>
            <w:r>
              <w:rPr>
                <w:sz w:val="18"/>
              </w:rPr>
              <w:t>Baker Industrial petition accorded filing date — PTAB has 90 days to decide on institution. David Parris monitoring; Jamie Rodriguez (Skadden) has the file.</w:t>
            </w:r>
          </w:p>
        </w:tc>
        <w:tc>
          <w:tcPr>
            <w:tcW w:type="dxa" w:w="3515"/>
            <w:vAlign w:val="top"/>
          </w:tcPr>
          <w:p>
            <w:pPr>
              <w:jc w:val="left"/>
            </w:pPr>
            <w:r>
              <w:rPr>
                <w:sz w:val="18"/>
              </w:rPr>
              <w:t>Escrow holdback mechanic accepted by Elaine Whitbread at Thursday SC — agreed mechanic in SPA. If institution decision arrives before signing, deal risk is material. Monitor PTAB docketing via Jamie Rodriguez. Flag immediately to SVM and SC if institution order issued.</w:t>
            </w:r>
          </w:p>
        </w:tc>
      </w:tr>
      <w:tr>
        <w:tc>
          <w:tcPr>
            <w:tcW w:type="dxa" w:w="1587"/>
            <w:vAlign w:val="top"/>
          </w:tcPr>
          <w:p>
            <w:pPr>
              <w:jc w:val="left"/>
            </w:pPr>
            <w:r>
              <w:rPr>
                <w:sz w:val="18"/>
              </w:rPr>
              <w:t>Aldwych (M18227.001)</w:t>
            </w:r>
          </w:p>
        </w:tc>
        <w:tc>
          <w:tcPr>
            <w:tcW w:type="dxa" w:w="2268"/>
            <w:vAlign w:val="top"/>
          </w:tcPr>
          <w:p>
            <w:pPr>
              <w:jc w:val="left"/>
            </w:pPr>
            <w:r>
              <w:rPr>
                <w:sz w:val="18"/>
              </w:rPr>
              <w:t>Indemnification cap gap — unresolved ahead of SC Thursday 14 May</w:t>
            </w:r>
          </w:p>
        </w:tc>
        <w:tc>
          <w:tcPr>
            <w:tcW w:type="dxa" w:w="2551"/>
            <w:vAlign w:val="top"/>
          </w:tcPr>
          <w:p>
            <w:pPr>
              <w:jc w:val="left"/>
            </w:pPr>
            <w:r>
              <w:rPr>
                <w:sz w:val="18"/>
              </w:rPr>
              <w:t>Buyer position 10% EV; Cleary counter 15% EV — round 2 reps/warranties in play.</w:t>
            </w:r>
          </w:p>
        </w:tc>
        <w:tc>
          <w:tcPr>
            <w:tcW w:type="dxa" w:w="3515"/>
            <w:vAlign w:val="top"/>
          </w:tcPr>
          <w:p>
            <w:pPr>
              <w:jc w:val="left"/>
            </w:pPr>
            <w:r>
              <w:rPr>
                <w:sz w:val="18"/>
              </w:rPr>
              <w:t>SVM needs to decide negotiating position before Thursday SC. Briefing note prepared by Priya includes draft timeline to close. Risk: SC stalls if SVM has not reviewed and settled position.</w:t>
            </w:r>
          </w:p>
        </w:tc>
      </w:tr>
      <w:tr>
        <w:tc>
          <w:tcPr>
            <w:tcW w:type="dxa" w:w="1587"/>
            <w:vAlign w:val="top"/>
          </w:tcPr>
          <w:p>
            <w:pPr>
              <w:jc w:val="left"/>
            </w:pPr>
            <w:r>
              <w:rPr>
                <w:sz w:val="18"/>
              </w:rPr>
              <w:t>Westcliff (M20118.003)</w:t>
            </w:r>
          </w:p>
        </w:tc>
        <w:tc>
          <w:tcPr>
            <w:tcW w:type="dxa" w:w="2268"/>
            <w:vAlign w:val="top"/>
          </w:tcPr>
          <w:p>
            <w:pPr>
              <w:jc w:val="left"/>
            </w:pPr>
            <w:r>
              <w:rPr>
                <w:sz w:val="18"/>
              </w:rPr>
              <w:t>LP MFN cascade if carve-out language not agreed before QPEPP execution</w:t>
            </w:r>
          </w:p>
        </w:tc>
        <w:tc>
          <w:tcPr>
            <w:tcW w:type="dxa" w:w="2551"/>
            <w:vAlign w:val="top"/>
          </w:tcPr>
          <w:p>
            <w:pPr>
              <w:jc w:val="left"/>
            </w:pPr>
            <w:r>
              <w:rPr>
                <w:sz w:val="18"/>
              </w:rPr>
              <w:t>Supplementary analysis: 3 Fund IV LPs (22% committed capital) have MFN provisions broad enough to capture QPEPP accommodation. Tiered trigger + ESG-specificity recommended.</w:t>
            </w:r>
          </w:p>
        </w:tc>
        <w:tc>
          <w:tcPr>
            <w:tcW w:type="dxa" w:w="3515"/>
            <w:vAlign w:val="top"/>
          </w:tcPr>
          <w:p>
            <w:pPr>
              <w:jc w:val="left"/>
            </w:pPr>
            <w:r>
              <w:rPr>
                <w:sz w:val="18"/>
              </w:rPr>
              <w:t>QPEPP not disclosing to other Fund IV LPs until amendment executed — AHL's call, agreed with client. LPA amendment draft due JB Remillard 22 May. If carve-out drafting is not tight, MFN claims from Fund IV LPs could follow execution. AHL review of the memo is the gating step.</w:t>
            </w:r>
          </w:p>
        </w:tc>
      </w:tr>
      <w:tr>
        <w:tc>
          <w:tcPr>
            <w:tcW w:type="dxa" w:w="1587"/>
            <w:vAlign w:val="top"/>
          </w:tcPr>
          <w:p>
            <w:pPr>
              <w:jc w:val="left"/>
            </w:pPr>
            <w:r>
              <w:rPr>
                <w:sz w:val="18"/>
              </w:rPr>
              <w:t>Altissima (M17902.011)</w:t>
            </w:r>
          </w:p>
        </w:tc>
        <w:tc>
          <w:tcPr>
            <w:tcW w:type="dxa" w:w="2268"/>
            <w:vAlign w:val="top"/>
          </w:tcPr>
          <w:p>
            <w:pPr>
              <w:jc w:val="left"/>
            </w:pPr>
            <w:r>
              <w:rPr>
                <w:sz w:val="18"/>
              </w:rPr>
              <w:t>Scope escalation risk — Phase 3 fixed fee (£185k) if proceedings accelerate</w:t>
            </w:r>
          </w:p>
        </w:tc>
        <w:tc>
          <w:tcPr>
            <w:tcW w:type="dxa" w:w="2551"/>
            <w:vAlign w:val="top"/>
          </w:tcPr>
          <w:p>
            <w:pPr>
              <w:jc w:val="left"/>
            </w:pPr>
            <w:r>
              <w:rPr>
                <w:sz w:val="18"/>
              </w:rPr>
              <w:t>Phase 3 scoped as contested proceedings. Cuatrecasas pre-litigation notice filed 7 May; formal proceedings expected 4–6 weeks. Fixed fee agreed.</w:t>
            </w:r>
          </w:p>
        </w:tc>
        <w:tc>
          <w:tcPr>
            <w:tcW w:type="dxa" w:w="3515"/>
            <w:vAlign w:val="top"/>
          </w:tcPr>
          <w:p>
            <w:pPr>
              <w:jc w:val="left"/>
            </w:pPr>
            <w:r>
              <w:rPr>
                <w:sz w:val="18"/>
              </w:rPr>
              <w:t>If proceedings become more complex or multi-track than Phase 3 assumed, £185k fixed fee creates exposure. Monitor scope assumptions at Wednesday strategy call with Uría Menéndez. Surface to MKT if Phase 3 scope risk emerges.</w:t>
            </w:r>
          </w:p>
        </w:tc>
      </w:tr>
      <w:tr>
        <w:tc>
          <w:tcPr>
            <w:tcW w:type="dxa" w:w="1587"/>
            <w:vAlign w:val="top"/>
          </w:tcPr>
          <w:p>
            <w:pPr>
              <w:jc w:val="left"/>
            </w:pPr>
            <w:r>
              <w:rPr>
                <w:sz w:val="18"/>
              </w:rPr>
              <w:t>Meridian (M20481.002)</w:t>
            </w:r>
          </w:p>
        </w:tc>
        <w:tc>
          <w:tcPr>
            <w:tcW w:type="dxa" w:w="2268"/>
            <w:vAlign w:val="top"/>
          </w:tcPr>
          <w:p>
            <w:pPr>
              <w:jc w:val="left"/>
            </w:pPr>
            <w:r>
              <w:rPr>
                <w:sz w:val="18"/>
              </w:rPr>
              <w:t>Czech close timeline risk — FISA filing delay</w:t>
            </w:r>
          </w:p>
        </w:tc>
        <w:tc>
          <w:tcPr>
            <w:tcW w:type="dxa" w:w="2551"/>
            <w:vAlign w:val="top"/>
          </w:tcPr>
          <w:p>
            <w:pPr>
              <w:jc w:val="left"/>
            </w:pPr>
            <w:r>
              <w:rPr>
                <w:sz w:val="18"/>
              </w:rPr>
              <w:t>Even filing within 2 weeks, 40 working-day FISA review window could push close. Supervisory board not yet informed.</w:t>
            </w:r>
          </w:p>
        </w:tc>
        <w:tc>
          <w:tcPr>
            <w:tcW w:type="dxa" w:w="3515"/>
            <w:vAlign w:val="top"/>
          </w:tcPr>
          <w:p>
            <w:pPr>
              <w:jc w:val="left"/>
            </w:pPr>
            <w:r>
              <w:rPr>
                <w:sz w:val="18"/>
              </w:rPr>
              <w:t>JMW direction on supervisory board communication is the immediate action. Without board awareness, the timeline risk cannot be managed. Filing delay compounds to close risk. Aisha Khan holding on communication.</w:t>
            </w:r>
          </w:p>
        </w:tc>
      </w:tr>
      <w:tr>
        <w:tc>
          <w:tcPr>
            <w:tcW w:type="dxa" w:w="1587"/>
            <w:vAlign w:val="top"/>
          </w:tcPr>
          <w:p>
            <w:pPr>
              <w:jc w:val="left"/>
            </w:pPr>
            <w:r>
              <w:rPr>
                <w:sz w:val="18"/>
              </w:rPr>
              <w:t>Meridian (M20481.002)</w:t>
            </w:r>
          </w:p>
        </w:tc>
        <w:tc>
          <w:tcPr>
            <w:tcW w:type="dxa" w:w="2268"/>
            <w:vAlign w:val="top"/>
          </w:tcPr>
          <w:p>
            <w:pPr>
              <w:jc w:val="left"/>
            </w:pPr>
            <w:r>
              <w:rPr>
                <w:sz w:val="18"/>
              </w:rPr>
              <w:t>Italian RE scope — additional work commences without signed amendment</w:t>
            </w:r>
          </w:p>
        </w:tc>
        <w:tc>
          <w:tcPr>
            <w:tcW w:type="dxa" w:w="2551"/>
            <w:vAlign w:val="top"/>
          </w:tcPr>
          <w:p>
            <w:pPr>
              <w:jc w:val="left"/>
            </w:pPr>
            <w:r>
              <w:rPr>
                <w:sz w:val="18"/>
              </w:rPr>
              <w:t>Fee letter amendment sent; countersignature not yet received.</w:t>
            </w:r>
          </w:p>
        </w:tc>
        <w:tc>
          <w:tcPr>
            <w:tcW w:type="dxa" w:w="3515"/>
            <w:vAlign w:val="top"/>
          </w:tcPr>
          <w:p>
            <w:pPr>
              <w:jc w:val="left"/>
            </w:pPr>
            <w:r>
              <w:rPr>
                <w:sz w:val="18"/>
              </w:rPr>
              <w:t>Work blocked by Scott's instruction. Risk is team pressure to start ahead of signature if status call Thursday looms. Hold the line — no work until Wolfgang Steiner countersigns.</w:t>
            </w:r>
          </w:p>
        </w:tc>
      </w:tr>
    </w:tbl>
    <w:p>
      <w:pPr>
        <w:spacing w:before="80" w:after="80"/>
        <w:pBdr>
          <w:bottom w:val="single" w:sz="6" w:space="1" w:color="4472C4"/>
        </w:pBdr>
      </w:pPr>
    </w:p>
    <w:p>
      <w:pPr>
        <w:spacing w:before="160" w:after="80"/>
      </w:pPr>
      <w:r>
        <w:rPr>
          <w:b/>
          <w:color w:val="1F497D"/>
          <w:sz w:val="26"/>
        </w:rPr>
        <w:t>CROSS-MATTER PATTERNS</w:t>
      </w:r>
    </w:p>
    <w:p>
      <w:pPr>
        <w:spacing w:before="80" w:after="80"/>
      </w:pPr>
      <w:r>
        <w:rPr>
          <w:b/>
          <w:sz w:val="20"/>
        </w:rPr>
        <w:t xml:space="preserve">Partner load pressure — SVM: </w:t>
      </w:r>
      <w:r>
        <w:rPr>
          <w:sz w:val="20"/>
        </w:rPr>
        <w:t>SVM is lead partner on both Aldwych (Thursday 14 May SC, indemnification cap decision pending, WIP flash SC commitment overdue) and Hartwick (reviewing tiered pricing paper, to lead the framework agreement call week of 18 May). Both matters are generating active this-week work requiring SVM attention simultaneously. Thursday 14 May is the collision point: Aldwych SC requires SVM to have reviewed the briefing note and settled the indemnification cap position, while Hartwick requires briefing from Ben ahead of the Catherine Dell call. No natural buffer.</w:t>
      </w:r>
    </w:p>
    <w:p>
      <w:pPr>
        <w:spacing w:before="80" w:after="80"/>
      </w:pPr>
      <w:r>
        <w:rPr>
          <w:b/>
          <w:sz w:val="20"/>
        </w:rPr>
        <w:t xml:space="preserve">LPM load pressure — Ben Okonkwo: </w:t>
      </w:r>
      <w:r>
        <w:rPr>
          <w:sz w:val="20"/>
        </w:rPr>
        <w:t>Ben leads both Hartwick (portfolio disposals programme, framework negotiations now opening after Catherine Dell's positive response) and Altissima (Phase 3 just launched, contested proceedings imminent, strategy call this week, client call this week). Both are generating today-and-this-week urgent work. Altissima has the higher urgency gradient (Cuatrecasas pre-litigation notice, unconfirmed strategy call, client call request). Monitor Ben's capacity across both this week.</w:t>
      </w:r>
    </w:p>
    <w:p>
      <w:pPr>
        <w:spacing w:before="80" w:after="80"/>
      </w:pPr>
      <w:r>
        <w:rPr>
          <w:b/>
          <w:sz w:val="20"/>
        </w:rPr>
        <w:t xml:space="preserve">Regulatory-driven disruption — Meridian and Nexus: </w:t>
      </w:r>
      <w:r>
        <w:rPr>
          <w:sz w:val="20"/>
        </w:rPr>
        <w:t>Two matters are in active regulatory windows this week driven by external mandatory timelines: Meridian faces the Czech FISA 40 working-day review window (close at risk within 2 weeks) and Nexus has the 60-day EMA initial review window running from 5 May. Different regulators and different urgency profiles (Meridian critical, Nexus monitoring only), but the pattern of external regulatory timelines dominating matter pace is present across both. No shared response required — flagged as awareness.</w:t>
      </w:r>
    </w:p>
    <w:p>
      <w:pPr>
        <w:spacing w:before="80" w:after="80"/>
      </w:pPr>
      <w:r>
        <w:rPr>
          <w:b/>
          <w:sz w:val="20"/>
        </w:rPr>
        <w:t xml:space="preserve">Fee structure scope-change wave — Meridian and Altissima: </w:t>
      </w:r>
      <w:r>
        <w:rPr>
          <w:sz w:val="20"/>
        </w:rPr>
        <w:t>Both matters have fee structure movements this week: Meridian has an unsigned £85k additional fixed fee amendment for the Italian RE workstream (work blocked until signed) and Altissima has a freshly signed Phase 3 fixed fee (£185k) with scope escalation risk if proceedings accelerate. Both matters carry fixed-fee risk on workstreams where scope is not fully settled. Not a crisis wave, but two matters with active fee-boundary pressure simultaneously.</w:t>
      </w:r>
    </w:p>
    <w:p>
      <w:pPr>
        <w:spacing w:before="80" w:after="80"/>
        <w:pBdr>
          <w:bottom w:val="single" w:sz="6" w:space="1" w:color="4472C4"/>
        </w:pBdr>
      </w:pPr>
    </w:p>
    <w:p>
      <w:pPr>
        <w:spacing w:before="160" w:after="80"/>
      </w:pPr>
      <w:r>
        <w:rPr>
          <w:b/>
          <w:color w:val="1F497D"/>
          <w:sz w:val="26"/>
        </w:rPr>
        <w:t>PARTNER ATTENTION — PORTFOLIO VIEW</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587"/>
            <w:shd w:val="clear" w:color="auto" w:fill="D9E1F2"/>
            <w:vAlign w:val="center"/>
          </w:tcPr>
          <w:p>
            <w:pPr>
              <w:jc w:val="left"/>
            </w:pPr>
            <w:r>
              <w:rPr>
                <w:b/>
                <w:sz w:val="18"/>
              </w:rPr>
              <w:t>Matter</w:t>
            </w:r>
          </w:p>
        </w:tc>
        <w:tc>
          <w:tcPr>
            <w:tcW w:type="dxa" w:w="850"/>
            <w:shd w:val="clear" w:color="auto" w:fill="D9E1F2"/>
            <w:vAlign w:val="center"/>
          </w:tcPr>
          <w:p>
            <w:pPr>
              <w:jc w:val="left"/>
            </w:pPr>
            <w:r>
              <w:rPr>
                <w:b/>
                <w:sz w:val="18"/>
              </w:rPr>
              <w:t>Partner</w:t>
            </w:r>
          </w:p>
        </w:tc>
        <w:tc>
          <w:tcPr>
            <w:tcW w:type="dxa" w:w="2835"/>
            <w:shd w:val="clear" w:color="auto" w:fill="D9E1F2"/>
            <w:vAlign w:val="center"/>
          </w:tcPr>
          <w:p>
            <w:pPr>
              <w:jc w:val="left"/>
            </w:pPr>
            <w:r>
              <w:rPr>
                <w:b/>
                <w:sz w:val="18"/>
              </w:rPr>
              <w:t>Item</w:t>
            </w:r>
          </w:p>
        </w:tc>
        <w:tc>
          <w:tcPr>
            <w:tcW w:type="dxa" w:w="1417"/>
            <w:shd w:val="clear" w:color="auto" w:fill="D9E1F2"/>
            <w:vAlign w:val="center"/>
          </w:tcPr>
          <w:p>
            <w:pPr>
              <w:jc w:val="left"/>
            </w:pPr>
            <w:r>
              <w:rPr>
                <w:b/>
                <w:sz w:val="18"/>
              </w:rPr>
              <w:t>Urgency</w:t>
            </w:r>
          </w:p>
        </w:tc>
        <w:tc>
          <w:tcPr>
            <w:tcW w:type="dxa" w:w="3231"/>
            <w:shd w:val="clear" w:color="auto" w:fill="D9E1F2"/>
            <w:vAlign w:val="center"/>
          </w:tcPr>
          <w:p>
            <w:pPr>
              <w:jc w:val="left"/>
            </w:pPr>
            <w:r>
              <w:rPr>
                <w:b/>
                <w:sz w:val="18"/>
              </w:rPr>
              <w:t>Reference</w:t>
            </w:r>
          </w:p>
        </w:tc>
      </w:tr>
      <w:tr>
        <w:tc>
          <w:tcPr>
            <w:tcW w:type="dxa" w:w="1587"/>
            <w:vAlign w:val="top"/>
          </w:tcPr>
          <w:p>
            <w:pPr>
              <w:jc w:val="left"/>
            </w:pPr>
            <w:r>
              <w:rPr>
                <w:sz w:val="18"/>
              </w:rPr>
              <w:t>Aldwych (M18227.001)</w:t>
            </w:r>
          </w:p>
        </w:tc>
        <w:tc>
          <w:tcPr>
            <w:tcW w:type="dxa" w:w="850"/>
            <w:vAlign w:val="top"/>
          </w:tcPr>
          <w:p>
            <w:pPr>
              <w:jc w:val="left"/>
            </w:pPr>
            <w:r>
              <w:rPr>
                <w:sz w:val="18"/>
              </w:rPr>
              <w:t>SVM</w:t>
            </w:r>
          </w:p>
        </w:tc>
        <w:tc>
          <w:tcPr>
            <w:tcW w:type="dxa" w:w="2835"/>
            <w:vAlign w:val="top"/>
          </w:tcPr>
          <w:p>
            <w:pPr>
              <w:jc w:val="left"/>
            </w:pPr>
            <w:r>
              <w:rPr>
                <w:sz w:val="18"/>
              </w:rPr>
              <w:t>Indemnification cap position for Thursday 14 May SC</w:t>
            </w:r>
          </w:p>
        </w:tc>
        <w:tc>
          <w:tcPr>
            <w:tcW w:type="dxa" w:w="1417"/>
            <w:vAlign w:val="top"/>
          </w:tcPr>
          <w:p>
            <w:pPr>
              <w:jc w:val="left"/>
            </w:pPr>
            <w:r>
              <w:rPr>
                <w:sz w:val="18"/>
              </w:rPr>
              <w:t>HIGH — SC Thursday</w:t>
            </w:r>
          </w:p>
        </w:tc>
        <w:tc>
          <w:tcPr>
            <w:tcW w:type="dxa" w:w="3231"/>
            <w:vAlign w:val="top"/>
          </w:tcPr>
          <w:p>
            <w:pPr>
              <w:jc w:val="left"/>
            </w:pPr>
            <w:r>
              <w:rPr>
                <w:sz w:val="18"/>
              </w:rPr>
              <w:t>Deliverable #7 / Issue 1 (WIP flash). Priya's note ready. SVM to settle position: buyer 10% vs Cleary counter 15% EV.</w:t>
            </w:r>
          </w:p>
        </w:tc>
      </w:tr>
      <w:tr>
        <w:tc>
          <w:tcPr>
            <w:tcW w:type="dxa" w:w="1587"/>
            <w:vAlign w:val="top"/>
          </w:tcPr>
          <w:p>
            <w:pPr>
              <w:jc w:val="left"/>
            </w:pPr>
            <w:r>
              <w:rPr>
                <w:sz w:val="18"/>
              </w:rPr>
              <w:t>Aldwych (M18227.001)</w:t>
            </w:r>
          </w:p>
        </w:tc>
        <w:tc>
          <w:tcPr>
            <w:tcW w:type="dxa" w:w="850"/>
            <w:vAlign w:val="top"/>
          </w:tcPr>
          <w:p>
            <w:pPr>
              <w:jc w:val="left"/>
            </w:pPr>
            <w:r>
              <w:rPr>
                <w:sz w:val="18"/>
              </w:rPr>
              <w:t>SVM</w:t>
            </w:r>
          </w:p>
        </w:tc>
        <w:tc>
          <w:tcPr>
            <w:tcW w:type="dxa" w:w="2835"/>
            <w:vAlign w:val="top"/>
          </w:tcPr>
          <w:p>
            <w:pPr>
              <w:jc w:val="left"/>
            </w:pPr>
            <w:r>
              <w:rPr>
                <w:sz w:val="18"/>
              </w:rPr>
              <w:t>WIP flash to Marcus Lane — agreed Monday 09:00, overdue</w:t>
            </w:r>
          </w:p>
        </w:tc>
        <w:tc>
          <w:tcPr>
            <w:tcW w:type="dxa" w:w="1417"/>
            <w:vAlign w:val="top"/>
          </w:tcPr>
          <w:p>
            <w:pPr>
              <w:jc w:val="left"/>
            </w:pPr>
            <w:r>
              <w:rPr>
                <w:sz w:val="18"/>
              </w:rPr>
              <w:t>HIGH — overdue now</w:t>
            </w:r>
          </w:p>
        </w:tc>
        <w:tc>
          <w:tcPr>
            <w:tcW w:type="dxa" w:w="3231"/>
            <w:vAlign w:val="top"/>
          </w:tcPr>
          <w:p>
            <w:pPr>
              <w:jc w:val="left"/>
            </w:pPr>
            <w:r>
              <w:rPr>
                <w:sz w:val="18"/>
              </w:rPr>
              <w:t>Issue 1. SC commitment 7 May. First instance missed.</w:t>
            </w:r>
          </w:p>
        </w:tc>
      </w:tr>
      <w:tr>
        <w:tc>
          <w:tcPr>
            <w:tcW w:type="dxa" w:w="1587"/>
            <w:vAlign w:val="top"/>
          </w:tcPr>
          <w:p>
            <w:pPr>
              <w:jc w:val="left"/>
            </w:pPr>
            <w:r>
              <w:rPr>
                <w:sz w:val="18"/>
              </w:rPr>
              <w:t>Meridian (M20481.002)</w:t>
            </w:r>
          </w:p>
        </w:tc>
        <w:tc>
          <w:tcPr>
            <w:tcW w:type="dxa" w:w="850"/>
            <w:vAlign w:val="top"/>
          </w:tcPr>
          <w:p>
            <w:pPr>
              <w:jc w:val="left"/>
            </w:pPr>
            <w:r>
              <w:rPr>
                <w:sz w:val="18"/>
              </w:rPr>
              <w:t>JMW</w:t>
            </w:r>
          </w:p>
        </w:tc>
        <w:tc>
          <w:tcPr>
            <w:tcW w:type="dxa" w:w="2835"/>
            <w:vAlign w:val="top"/>
          </w:tcPr>
          <w:p>
            <w:pPr>
              <w:jc w:val="left"/>
            </w:pPr>
            <w:r>
              <w:rPr>
                <w:sz w:val="18"/>
              </w:rPr>
              <w:t>Czech FDI — direction on supervisory board communication timing and framing</w:t>
            </w:r>
          </w:p>
        </w:tc>
        <w:tc>
          <w:tcPr>
            <w:tcW w:type="dxa" w:w="1417"/>
            <w:vAlign w:val="top"/>
          </w:tcPr>
          <w:p>
            <w:pPr>
              <w:jc w:val="left"/>
            </w:pPr>
            <w:r>
              <w:rPr>
                <w:sz w:val="18"/>
              </w:rPr>
              <w:t>CRITICAL — today</w:t>
            </w:r>
          </w:p>
        </w:tc>
        <w:tc>
          <w:tcPr>
            <w:tcW w:type="dxa" w:w="3231"/>
            <w:vAlign w:val="top"/>
          </w:tcPr>
          <w:p>
            <w:pPr>
              <w:jc w:val="left"/>
            </w:pPr>
            <w:r>
              <w:rPr>
                <w:sz w:val="18"/>
              </w:rPr>
              <w:t>Deliverable #2 / Issue 2. Aisha Khan holding. 40 working-day FISA window. Close at risk.</w:t>
            </w:r>
          </w:p>
        </w:tc>
      </w:tr>
      <w:tr>
        <w:tc>
          <w:tcPr>
            <w:tcW w:type="dxa" w:w="1587"/>
            <w:vAlign w:val="top"/>
          </w:tcPr>
          <w:p>
            <w:pPr>
              <w:jc w:val="left"/>
            </w:pPr>
            <w:r>
              <w:rPr>
                <w:sz w:val="18"/>
              </w:rPr>
              <w:t>Meridian (M20481.002)</w:t>
            </w:r>
          </w:p>
        </w:tc>
        <w:tc>
          <w:tcPr>
            <w:tcW w:type="dxa" w:w="850"/>
            <w:vAlign w:val="top"/>
          </w:tcPr>
          <w:p>
            <w:pPr>
              <w:jc w:val="left"/>
            </w:pPr>
            <w:r>
              <w:rPr>
                <w:sz w:val="18"/>
              </w:rPr>
              <w:t>JMW</w:t>
            </w:r>
          </w:p>
        </w:tc>
        <w:tc>
          <w:tcPr>
            <w:tcW w:type="dxa" w:w="2835"/>
            <w:vAlign w:val="top"/>
          </w:tcPr>
          <w:p>
            <w:pPr>
              <w:jc w:val="left"/>
            </w:pPr>
            <w:r>
              <w:rPr>
                <w:sz w:val="18"/>
              </w:rPr>
              <w:t>Polish LC escalation — confirm Thursday COB trigger is being monitored</w:t>
            </w:r>
          </w:p>
        </w:tc>
        <w:tc>
          <w:tcPr>
            <w:tcW w:type="dxa" w:w="1417"/>
            <w:vAlign w:val="top"/>
          </w:tcPr>
          <w:p>
            <w:pPr>
              <w:jc w:val="left"/>
            </w:pPr>
            <w:r>
              <w:rPr>
                <w:sz w:val="18"/>
              </w:rPr>
              <w:t>MEDIUM — Thursday COB</w:t>
            </w:r>
          </w:p>
        </w:tc>
        <w:tc>
          <w:tcPr>
            <w:tcW w:type="dxa" w:w="3231"/>
            <w:vAlign w:val="top"/>
          </w:tcPr>
          <w:p>
            <w:pPr>
              <w:jc w:val="left"/>
            </w:pPr>
            <w:r>
              <w:rPr>
                <w:sz w:val="18"/>
              </w:rPr>
              <w:t>Issue 3. Warsaw LC promised revert end of week. JMW: escalate to next panel name if nothing by Thursday COB.</w:t>
            </w:r>
          </w:p>
        </w:tc>
      </w:tr>
      <w:tr>
        <w:tc>
          <w:tcPr>
            <w:tcW w:type="dxa" w:w="1587"/>
            <w:vAlign w:val="top"/>
          </w:tcPr>
          <w:p>
            <w:pPr>
              <w:jc w:val="left"/>
            </w:pPr>
            <w:r>
              <w:rPr>
                <w:sz w:val="18"/>
              </w:rPr>
              <w:t>Westcliff (M20118.003)</w:t>
            </w:r>
          </w:p>
        </w:tc>
        <w:tc>
          <w:tcPr>
            <w:tcW w:type="dxa" w:w="850"/>
            <w:vAlign w:val="top"/>
          </w:tcPr>
          <w:p>
            <w:pPr>
              <w:jc w:val="left"/>
            </w:pPr>
            <w:r>
              <w:rPr>
                <w:sz w:val="18"/>
              </w:rPr>
              <w:t>AHL</w:t>
            </w:r>
          </w:p>
        </w:tc>
        <w:tc>
          <w:tcPr>
            <w:tcW w:type="dxa" w:w="2835"/>
            <w:vAlign w:val="top"/>
          </w:tcPr>
          <w:p>
            <w:pPr>
              <w:jc w:val="left"/>
            </w:pPr>
            <w:r>
              <w:rPr>
                <w:sz w:val="18"/>
              </w:rPr>
              <w:t>LP MFN supplementary memo — review before QPEPP call; LPA amendment direction</w:t>
            </w:r>
          </w:p>
        </w:tc>
        <w:tc>
          <w:tcPr>
            <w:tcW w:type="dxa" w:w="1417"/>
            <w:vAlign w:val="top"/>
          </w:tcPr>
          <w:p>
            <w:pPr>
              <w:jc w:val="left"/>
            </w:pPr>
            <w:r>
              <w:rPr>
                <w:sz w:val="18"/>
              </w:rPr>
              <w:t>HIGH — before QPEPP call</w:t>
            </w:r>
          </w:p>
        </w:tc>
        <w:tc>
          <w:tcPr>
            <w:tcW w:type="dxa" w:w="3231"/>
            <w:vAlign w:val="top"/>
          </w:tcPr>
          <w:p>
            <w:pPr>
              <w:jc w:val="left"/>
            </w:pPr>
            <w:r>
              <w:rPr>
                <w:sz w:val="18"/>
              </w:rPr>
              <w:t>Deliverable #6 / Risk 3. 22% committed capital exposure. LPA amendment draft due JB Remillard 22 May.</w:t>
            </w:r>
          </w:p>
        </w:tc>
      </w:tr>
      <w:tr>
        <w:tc>
          <w:tcPr>
            <w:tcW w:type="dxa" w:w="1587"/>
            <w:vAlign w:val="top"/>
          </w:tcPr>
          <w:p>
            <w:pPr>
              <w:jc w:val="left"/>
            </w:pPr>
            <w:r>
              <w:rPr>
                <w:sz w:val="18"/>
              </w:rPr>
              <w:t>Altissima (M17902.011)</w:t>
            </w:r>
          </w:p>
        </w:tc>
        <w:tc>
          <w:tcPr>
            <w:tcW w:type="dxa" w:w="850"/>
            <w:vAlign w:val="top"/>
          </w:tcPr>
          <w:p>
            <w:pPr>
              <w:jc w:val="left"/>
            </w:pPr>
            <w:r>
              <w:rPr>
                <w:sz w:val="18"/>
              </w:rPr>
              <w:t>MKT</w:t>
            </w:r>
          </w:p>
        </w:tc>
        <w:tc>
          <w:tcPr>
            <w:tcW w:type="dxa" w:w="2835"/>
            <w:vAlign w:val="top"/>
          </w:tcPr>
          <w:p>
            <w:pPr>
              <w:jc w:val="left"/>
            </w:pPr>
            <w:r>
              <w:rPr>
                <w:sz w:val="18"/>
              </w:rPr>
              <w:t>Confirm Wednesday strategy call with Uría Menéndez on Cuatrecasas position</w:t>
            </w:r>
          </w:p>
        </w:tc>
        <w:tc>
          <w:tcPr>
            <w:tcW w:type="dxa" w:w="1417"/>
            <w:vAlign w:val="top"/>
          </w:tcPr>
          <w:p>
            <w:pPr>
              <w:jc w:val="left"/>
            </w:pPr>
            <w:r>
              <w:rPr>
                <w:sz w:val="18"/>
              </w:rPr>
              <w:t>HIGH — Wednesday</w:t>
            </w:r>
          </w:p>
        </w:tc>
        <w:tc>
          <w:tcPr>
            <w:tcW w:type="dxa" w:w="3231"/>
            <w:vAlign w:val="top"/>
          </w:tcPr>
          <w:p>
            <w:pPr>
              <w:jc w:val="left"/>
            </w:pPr>
            <w:r>
              <w:rPr>
                <w:sz w:val="18"/>
              </w:rPr>
              <w:t>Issue 5 / Deliverable #3. Pre-litigation notice filed 7 May. Ben to confirm slot.</w:t>
            </w:r>
          </w:p>
        </w:tc>
      </w:tr>
      <w:tr>
        <w:tc>
          <w:tcPr>
            <w:tcW w:type="dxa" w:w="1587"/>
            <w:vAlign w:val="top"/>
          </w:tcPr>
          <w:p>
            <w:pPr>
              <w:jc w:val="left"/>
            </w:pPr>
            <w:r>
              <w:rPr>
                <w:sz w:val="18"/>
              </w:rPr>
              <w:t>Hartwick (M20602.001)</w:t>
            </w:r>
          </w:p>
        </w:tc>
        <w:tc>
          <w:tcPr>
            <w:tcW w:type="dxa" w:w="850"/>
            <w:vAlign w:val="top"/>
          </w:tcPr>
          <w:p>
            <w:pPr>
              <w:jc w:val="left"/>
            </w:pPr>
            <w:r>
              <w:rPr>
                <w:sz w:val="18"/>
              </w:rPr>
              <w:t>SVM</w:t>
            </w:r>
          </w:p>
        </w:tc>
        <w:tc>
          <w:tcPr>
            <w:tcW w:type="dxa" w:w="2835"/>
            <w:vAlign w:val="top"/>
          </w:tcPr>
          <w:p>
            <w:pPr>
              <w:jc w:val="left"/>
            </w:pPr>
            <w:r>
              <w:rPr>
                <w:sz w:val="18"/>
              </w:rPr>
              <w:t>Brief from Ben ahead of framework agreement call (week of 18 May)</w:t>
            </w:r>
          </w:p>
        </w:tc>
        <w:tc>
          <w:tcPr>
            <w:tcW w:type="dxa" w:w="1417"/>
            <w:vAlign w:val="top"/>
          </w:tcPr>
          <w:p>
            <w:pPr>
              <w:jc w:val="left"/>
            </w:pPr>
            <w:r>
              <w:rPr>
                <w:sz w:val="18"/>
              </w:rPr>
              <w:t>MEDIUM — this week</w:t>
            </w:r>
          </w:p>
        </w:tc>
        <w:tc>
          <w:tcPr>
            <w:tcW w:type="dxa" w:w="3231"/>
            <w:vAlign w:val="top"/>
          </w:tcPr>
          <w:p>
            <w:pPr>
              <w:jc w:val="left"/>
            </w:pPr>
            <w:r>
              <w:rPr>
                <w:sz w:val="18"/>
              </w:rPr>
              <w:t>Deliverable #8. Catherine Dell confirmed week of 18 May. SVM to lead; Ben to brief in advance.</w:t>
            </w:r>
          </w:p>
        </w:tc>
      </w:tr>
    </w:tbl>
    <w:p>
      <w:pPr>
        <w:spacing w:before="80" w:after="80"/>
        <w:pBdr>
          <w:bottom w:val="single" w:sz="6" w:space="1" w:color="4472C4"/>
        </w:pBdr>
      </w:pPr>
    </w:p>
    <w:p>
      <w:pPr>
        <w:spacing w:before="160" w:after="80"/>
      </w:pPr>
      <w:r>
        <w:rPr>
          <w:b/>
          <w:color w:val="1F497D"/>
          <w:sz w:val="26"/>
        </w:rPr>
        <w:t>MATTER MINI-BRIEFINGS</w:t>
      </w:r>
    </w:p>
    <w:p>
      <w:pPr>
        <w:spacing w:before="160" w:after="80"/>
      </w:pPr>
      <w:r>
        <w:rPr>
          <w:b/>
          <w:color w:val="C00000"/>
          <w:sz w:val="22"/>
        </w:rPr>
        <w:t>Meridian Industrial AG (M20481.002)</w:t>
      </w:r>
    </w:p>
    <w:p>
      <w:pPr>
        <w:spacing w:before="0" w:after="60"/>
      </w:pPr>
      <w:r>
        <w:rPr>
          <w:b w:val="0"/>
          <w:i/>
          <w:sz w:val="20"/>
        </w:rPr>
        <w:t>RAG: RED  ·  Phase: Active multi-jurisdictional restructuring programme  ·  Lead Partner: JMW  ·  Lead LPM: Scott Margetts  ·  Fee model: Mixed (programme + fixed-fee workstreams)  ·  WIP: [TBC]</w:t>
      </w:r>
    </w:p>
    <w:p>
      <w:pPr>
        <w:spacing w:before="0" w:after="80"/>
      </w:pPr>
      <w:r>
        <w:rPr>
          <w:b w:val="0"/>
          <w:i w:val="0"/>
          <w:sz w:val="20"/>
        </w:rPr>
        <w:t>Three live issues in parallel. Czech FDI is the critical path: MeridianCZ Robotics confirmed within amended FISA scope; mandatory pre-close filing required; 40 working-day review window puts close at risk if not filed within 2 weeks. JMW direction on supervisory board communication outstanding — Aisha Khan holding. Polish LC (Warsaw, transfer pricing) has been non-responsive since 2 April; JMW spoke to managing partner directly last week; revert promised by Thursday — escalation trigger if not received. Italian RE workstream blocked pending Wolfgang Steiner's countersignature on £85k fee amendment; team instructed to hold. Thursday 14 May 14:00 BST status call with Helena Boerger (Treasury, Meridian Industrial) — status deck due Wednesday evening.</w:t>
      </w:r>
    </w:p>
    <w:p>
      <w:pPr>
        <w:spacing w:before="160" w:after="80"/>
      </w:pPr>
      <w:r>
        <w:rPr>
          <w:b/>
          <w:color w:val="FF9900"/>
          <w:sz w:val="22"/>
        </w:rPr>
        <w:t>Altissima Energy SpA (M17902.011)</w:t>
      </w:r>
    </w:p>
    <w:p>
      <w:pPr>
        <w:spacing w:before="0" w:after="60"/>
      </w:pPr>
      <w:r>
        <w:rPr>
          <w:b w:val="0"/>
          <w:i/>
          <w:sz w:val="20"/>
        </w:rPr>
        <w:t>RAG: AMBER (escalating)  ·  Phase: Phase 3 — Contested proceedings launched  ·  Lead Partner: MKT  ·  Lead LPM: Ben Okonkwo  ·  Fee model: Fixed fee per phase (Phase 3: £185k)  ·  WIP: [TBC]</w:t>
      </w:r>
    </w:p>
    <w:p>
      <w:pPr>
        <w:spacing w:before="0" w:after="80"/>
      </w:pPr>
      <w:r>
        <w:rPr>
          <w:b w:val="0"/>
          <w:i w:val="0"/>
          <w:sz w:val="20"/>
        </w:rPr>
        <w:t>Phase 3 fee letter signed by Sofia Esposito (GC) Friday 8 May — work commences this week. Cuatrecasas filed a pre-litigation notice with the Madrid Commercial Court on 7 May; formal proceedings expected within 4–6 weeks. Strategy call with Uría Menéndez (Alejandro Morales, Madrid) being scheduled for Wednesday — not yet confirmed as of this briefing. Sofia Esposito has separately requested a client call this week on Phase 3 timeline and Cuatrecasas near-term outlook. Ben Okonkwo and MKT to action Wednesday call confirmation today. Fixed-fee scope risk if proceedings accelerate beyond Phase 3 assumptions.</w:t>
      </w:r>
    </w:p>
    <w:p>
      <w:pPr>
        <w:spacing w:before="160" w:after="80"/>
      </w:pPr>
      <w:r>
        <w:rPr>
          <w:b/>
          <w:color w:val="FF9900"/>
          <w:sz w:val="22"/>
        </w:rPr>
        <w:t>Aldwych Holdings Ltd (M18227.001)</w:t>
      </w:r>
    </w:p>
    <w:p>
      <w:pPr>
        <w:spacing w:before="0" w:after="60"/>
      </w:pPr>
      <w:r>
        <w:rPr>
          <w:b w:val="0"/>
          <w:i/>
          <w:sz w:val="20"/>
        </w:rPr>
        <w:t>RAG: AMBER  ·  Phase: SPA negotiation / IP DD  ·  Lead Partner: SVM  ·  Lead LPM: Priya Ramanathan  ·  Fee model: [TBC]  ·  WIP: [TBC]</w:t>
      </w:r>
    </w:p>
    <w:p>
      <w:pPr>
        <w:spacing w:before="0" w:after="80"/>
      </w:pPr>
      <w:r>
        <w:rPr>
          <w:b w:val="0"/>
          <w:i w:val="0"/>
          <w:sz w:val="20"/>
        </w:rPr>
        <w:t>SC on Thursday 7 May agreed escrow holdback mechanic for patent opposition (Elaine Whitbread accepted). SPA buyer response submitted to Cleary Gottlieb 20 April; indemnification cap at round 2 — buyer 10% vs Cleary counter 15% EV. David Parris has transitioned the file to Jamie Rodriguez (Skadden); Rodriguez monitoring PTAB docketing. Next SC Thursday 14 May — SVM briefing note prepared by Priya and ready for overnight review. Marcus Lane WIP flash commitment (Mondays 09:00) first instance missed — action today. Timeline to close: end-Q3 2026 working assumption.</w:t>
      </w:r>
    </w:p>
    <w:p>
      <w:pPr>
        <w:spacing w:before="160" w:after="80"/>
      </w:pPr>
      <w:r>
        <w:rPr>
          <w:b/>
          <w:color w:val="FF9900"/>
          <w:sz w:val="22"/>
        </w:rPr>
        <w:t>Westcliff Capital Partners LLP (M20118.003)</w:t>
      </w:r>
    </w:p>
    <w:p>
      <w:pPr>
        <w:spacing w:before="0" w:after="60"/>
      </w:pPr>
      <w:r>
        <w:rPr>
          <w:b w:val="0"/>
          <w:i/>
          <w:sz w:val="20"/>
        </w:rPr>
        <w:t>RAG: AMBER  ·  Phase: Fund restructuring — QPEPP sub-fund spinout  ·  Lead Partner: AHL  ·  Lead LPM: Scott Margetts  ·  Fee model: [TBC]  ·  WIP: [TBC]</w:t>
      </w:r>
    </w:p>
    <w:p>
      <w:pPr>
        <w:spacing w:before="0" w:after="80"/>
      </w:pPr>
      <w:r>
        <w:rPr>
          <w:b w:val="0"/>
          <w:i w:val="0"/>
          <w:sz w:val="20"/>
        </w:rPr>
        <w:t>QPEPP IC approved sub-fund spinout 21 April subject to MFN carve-out language finalisation. JB Remillard (QPEPP) requires revised LPA amendment draft by 22 May — hard external deadline. Supplementary LP MFN analysis complete: 3 Fund IV LPs (22% committed capital) have MFN provisions broad enough to capture QPEPP accommodation; tiered trigger conditions and ESG-mandate specificity clause recommended. Memo with AHL for review. Westcliff not disclosing to other Fund IV LPs until QPEPP amendment executed — AHL's call. Watch item: AHL review of memo is gating step before drafting LPA amendment.</w:t>
      </w:r>
    </w:p>
    <w:p>
      <w:pPr>
        <w:spacing w:before="160" w:after="80"/>
      </w:pPr>
      <w:r>
        <w:rPr>
          <w:b/>
          <w:color w:val="378610"/>
          <w:sz w:val="22"/>
        </w:rPr>
        <w:t>Hartwick Private Equity (M20602.001)</w:t>
      </w:r>
    </w:p>
    <w:p>
      <w:pPr>
        <w:spacing w:before="0" w:after="60"/>
      </w:pPr>
      <w:r>
        <w:rPr>
          <w:b w:val="0"/>
          <w:i/>
          <w:sz w:val="20"/>
        </w:rPr>
        <w:t>RAG: GREEN  ·  Phase: Programme retainer — early stage  ·  Lead Partner: SVM  ·  Lead LPM: Ben Okonkwo  ·  Fee model: Programme retainer / tiered  ·  WIP: [TBC]</w:t>
      </w:r>
    </w:p>
    <w:p>
      <w:pPr>
        <w:spacing w:before="0" w:after="80"/>
      </w:pPr>
      <w:r>
        <w:rPr>
          <w:b w:val="0"/>
          <w:i w:val="0"/>
          <w:sz w:val="20"/>
        </w:rPr>
        <w:t>Step plan delivered to SVM 25 April. Tiered pricing options paper shared (sub-£75m / sub-£150m / above-£150m). Catherine Dell (Head of Exits) confirmed sub-£150m tier works; three assets in range being prepared for market. Requested framework agreement discussions — proposed week of 18 May call. SVM to lead; Ben Okonkwo to brief in advance. Steady state — no active issues or risks this period.</w:t>
      </w:r>
    </w:p>
    <w:p>
      <w:pPr>
        <w:spacing w:before="160" w:after="80"/>
      </w:pPr>
      <w:r>
        <w:rPr>
          <w:b/>
          <w:color w:val="378610"/>
          <w:sz w:val="22"/>
        </w:rPr>
        <w:t>Nexus Life Sciences SA (M19330.004)</w:t>
      </w:r>
    </w:p>
    <w:p>
      <w:pPr>
        <w:spacing w:before="0" w:after="60"/>
      </w:pPr>
      <w:r>
        <w:rPr>
          <w:b w:val="0"/>
          <w:i/>
          <w:sz w:val="20"/>
        </w:rPr>
        <w:t>RAG: GREEN  ·  Phase: Post-submission monitoring  ·  Lead Partner: [TBC]  ·  Lead LPM: Priya Ramanathan  ·  Fee model: [TBC]  ·  WIP: [TBC]</w:t>
      </w:r>
    </w:p>
    <w:p>
      <w:pPr>
        <w:spacing w:before="0" w:after="80"/>
      </w:pPr>
      <w:r>
        <w:rPr>
          <w:b w:val="0"/>
          <w:i w:val="0"/>
          <w:sz w:val="20"/>
        </w:rPr>
        <w:t>EMA supplementary response filed on time 5 May 2026 (16:42 CET). EMA reference EMA/SUB/2026/0412. Portal acknowledgement received from Thomas Brüggen (VP Regulatory Affairs). 60-day initial review window running — response expected ~4 July 2026. Homburger terminology observations incorporated in final QA pass 22 April. RDM briefed. No outstanding deliverables. Steady state — monitor for EMA review response.</w:t>
      </w:r>
    </w:p>
    <w:p>
      <w:pPr>
        <w:spacing w:before="80" w:after="80"/>
        <w:pBdr>
          <w:bottom w:val="single" w:sz="6" w:space="1" w:color="4472C4"/>
        </w:pBdr>
      </w:pPr>
    </w:p>
    <w:p>
      <w:pPr>
        <w:spacing w:before="160" w:after="80"/>
      </w:pPr>
      <w:r>
        <w:rPr>
          <w:b/>
          <w:color w:val="1F497D"/>
          <w:sz w:val="26"/>
        </w:rPr>
        <w:t>READING LIST — WHAT TO OPEN FIRST</w:t>
      </w:r>
    </w:p>
    <w:p>
      <w:pPr>
        <w:spacing w:before="0" w:after="80"/>
      </w:pPr>
      <w:r>
        <w:rPr>
          <w:b w:val="0"/>
          <w:i/>
          <w:sz w:val="20"/>
        </w:rPr>
        <w:t>If you have 15 minutes before the first call, these five items would most change the day.</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340"/>
            <w:shd w:val="clear" w:color="auto" w:fill="D9E1F2"/>
            <w:vAlign w:val="center"/>
          </w:tcPr>
          <w:p>
            <w:pPr>
              <w:jc w:val="left"/>
            </w:pPr>
            <w:r>
              <w:rPr>
                <w:b/>
                <w:sz w:val="18"/>
              </w:rPr>
              <w:t>#</w:t>
            </w:r>
          </w:p>
        </w:tc>
        <w:tc>
          <w:tcPr>
            <w:tcW w:type="dxa" w:w="2551"/>
            <w:shd w:val="clear" w:color="auto" w:fill="D9E1F2"/>
            <w:vAlign w:val="center"/>
          </w:tcPr>
          <w:p>
            <w:pPr>
              <w:jc w:val="left"/>
            </w:pPr>
            <w:r>
              <w:rPr>
                <w:b/>
                <w:sz w:val="18"/>
              </w:rPr>
              <w:t>Source</w:t>
            </w:r>
          </w:p>
        </w:tc>
        <w:tc>
          <w:tcPr>
            <w:tcW w:type="dxa" w:w="1587"/>
            <w:shd w:val="clear" w:color="auto" w:fill="D9E1F2"/>
            <w:vAlign w:val="center"/>
          </w:tcPr>
          <w:p>
            <w:pPr>
              <w:jc w:val="left"/>
            </w:pPr>
            <w:r>
              <w:rPr>
                <w:b/>
                <w:sz w:val="18"/>
              </w:rPr>
              <w:t>Matter</w:t>
            </w:r>
          </w:p>
        </w:tc>
        <w:tc>
          <w:tcPr>
            <w:tcW w:type="dxa" w:w="4252"/>
            <w:shd w:val="clear" w:color="auto" w:fill="D9E1F2"/>
            <w:vAlign w:val="center"/>
          </w:tcPr>
          <w:p>
            <w:pPr>
              <w:jc w:val="left"/>
            </w:pPr>
            <w:r>
              <w:rPr>
                <w:b/>
                <w:sz w:val="18"/>
              </w:rPr>
              <w:t>Why this first</w:t>
            </w:r>
          </w:p>
        </w:tc>
        <w:tc>
          <w:tcPr>
            <w:tcW w:type="dxa" w:w="850"/>
            <w:shd w:val="clear" w:color="auto" w:fill="D9E1F2"/>
            <w:vAlign w:val="center"/>
          </w:tcPr>
          <w:p>
            <w:pPr>
              <w:jc w:val="left"/>
            </w:pPr>
            <w:r>
              <w:rPr>
                <w:b/>
                <w:sz w:val="18"/>
              </w:rPr>
              <w:t>Read time</w:t>
            </w:r>
          </w:p>
        </w:tc>
      </w:tr>
      <w:tr>
        <w:tc>
          <w:tcPr>
            <w:tcW w:type="dxa" w:w="340"/>
            <w:vAlign w:val="top"/>
          </w:tcPr>
          <w:p>
            <w:pPr>
              <w:jc w:val="left"/>
            </w:pPr>
            <w:r>
              <w:rPr>
                <w:sz w:val="18"/>
              </w:rPr>
              <w:t>1</w:t>
            </w:r>
          </w:p>
        </w:tc>
        <w:tc>
          <w:tcPr>
            <w:tcW w:type="dxa" w:w="2551"/>
            <w:vAlign w:val="top"/>
          </w:tcPr>
          <w:p>
            <w:pPr>
              <w:jc w:val="left"/>
            </w:pPr>
            <w:r>
              <w:rPr>
                <w:sz w:val="18"/>
              </w:rPr>
              <w:t>Email — Aisha Khan (a.khan@firm.com)</w:t>
            </w:r>
          </w:p>
        </w:tc>
        <w:tc>
          <w:tcPr>
            <w:tcW w:type="dxa" w:w="1587"/>
            <w:vAlign w:val="top"/>
          </w:tcPr>
          <w:p>
            <w:pPr>
              <w:jc w:val="left"/>
            </w:pPr>
            <w:r>
              <w:rPr>
                <w:sz w:val="18"/>
              </w:rPr>
              <w:t>Meridian (M20481.002)</w:t>
            </w:r>
          </w:p>
        </w:tc>
        <w:tc>
          <w:tcPr>
            <w:tcW w:type="dxa" w:w="4252"/>
            <w:vAlign w:val="top"/>
          </w:tcPr>
          <w:p>
            <w:pPr>
              <w:jc w:val="left"/>
            </w:pPr>
            <w:r>
              <w:rPr>
                <w:sz w:val="18"/>
              </w:rPr>
              <w:t>Czech FDI assessment confirms FISA mandatory filing. Close at risk. JMW direction needed today. Contains Aisha's judgment on timing and supervisory board framing — read before speaking to JMW.</w:t>
            </w:r>
          </w:p>
        </w:tc>
        <w:tc>
          <w:tcPr>
            <w:tcW w:type="dxa" w:w="850"/>
            <w:vAlign w:val="top"/>
          </w:tcPr>
          <w:p>
            <w:pPr>
              <w:jc w:val="left"/>
            </w:pPr>
            <w:r>
              <w:rPr>
                <w:sz w:val="18"/>
              </w:rPr>
              <w:t>2 min</w:t>
            </w:r>
          </w:p>
        </w:tc>
      </w:tr>
      <w:tr>
        <w:tc>
          <w:tcPr>
            <w:tcW w:type="dxa" w:w="340"/>
            <w:vAlign w:val="top"/>
          </w:tcPr>
          <w:p>
            <w:pPr>
              <w:jc w:val="left"/>
            </w:pPr>
            <w:r>
              <w:rPr>
                <w:sz w:val="18"/>
              </w:rPr>
              <w:t>2</w:t>
            </w:r>
          </w:p>
        </w:tc>
        <w:tc>
          <w:tcPr>
            <w:tcW w:type="dxa" w:w="2551"/>
            <w:vAlign w:val="top"/>
          </w:tcPr>
          <w:p>
            <w:pPr>
              <w:jc w:val="left"/>
            </w:pPr>
            <w:r>
              <w:rPr>
                <w:sz w:val="18"/>
              </w:rPr>
              <w:t>Email — Priya Ramanathan (p.ramanathan@firm.com): Thursday SC briefing note</w:t>
            </w:r>
          </w:p>
        </w:tc>
        <w:tc>
          <w:tcPr>
            <w:tcW w:type="dxa" w:w="1587"/>
            <w:vAlign w:val="top"/>
          </w:tcPr>
          <w:p>
            <w:pPr>
              <w:jc w:val="left"/>
            </w:pPr>
            <w:r>
              <w:rPr>
                <w:sz w:val="18"/>
              </w:rPr>
              <w:t>Aldwych (M18227.001)</w:t>
            </w:r>
          </w:p>
        </w:tc>
        <w:tc>
          <w:tcPr>
            <w:tcW w:type="dxa" w:w="4252"/>
            <w:vAlign w:val="top"/>
          </w:tcPr>
          <w:p>
            <w:pPr>
              <w:jc w:val="left"/>
            </w:pPr>
            <w:r>
              <w:rPr>
                <w:sz w:val="18"/>
              </w:rPr>
              <w:t>SC note for Thursday 14 May. Contains indemnification cap position (10% vs 15% EV), IP DD summary, draft timeline to close. SVM overnight review needed. Sets up everything for Thursday.</w:t>
            </w:r>
          </w:p>
        </w:tc>
        <w:tc>
          <w:tcPr>
            <w:tcW w:type="dxa" w:w="850"/>
            <w:vAlign w:val="top"/>
          </w:tcPr>
          <w:p>
            <w:pPr>
              <w:jc w:val="left"/>
            </w:pPr>
            <w:r>
              <w:rPr>
                <w:sz w:val="18"/>
              </w:rPr>
              <w:t>5 min</w:t>
            </w:r>
          </w:p>
        </w:tc>
      </w:tr>
      <w:tr>
        <w:tc>
          <w:tcPr>
            <w:tcW w:type="dxa" w:w="340"/>
            <w:vAlign w:val="top"/>
          </w:tcPr>
          <w:p>
            <w:pPr>
              <w:jc w:val="left"/>
            </w:pPr>
            <w:r>
              <w:rPr>
                <w:sz w:val="18"/>
              </w:rPr>
              <w:t>3</w:t>
            </w:r>
          </w:p>
        </w:tc>
        <w:tc>
          <w:tcPr>
            <w:tcW w:type="dxa" w:w="2551"/>
            <w:vAlign w:val="top"/>
          </w:tcPr>
          <w:p>
            <w:pPr>
              <w:jc w:val="left"/>
            </w:pPr>
            <w:r>
              <w:rPr>
                <w:sz w:val="18"/>
              </w:rPr>
              <w:t>Email — Scott Margetts (s.margetts@firm.com): LP MFN supplementary memo</w:t>
            </w:r>
          </w:p>
        </w:tc>
        <w:tc>
          <w:tcPr>
            <w:tcW w:type="dxa" w:w="1587"/>
            <w:vAlign w:val="top"/>
          </w:tcPr>
          <w:p>
            <w:pPr>
              <w:jc w:val="left"/>
            </w:pPr>
            <w:r>
              <w:rPr>
                <w:sz w:val="18"/>
              </w:rPr>
              <w:t>Westcliff (M20118.003)</w:t>
            </w:r>
          </w:p>
        </w:tc>
        <w:tc>
          <w:tcPr>
            <w:tcW w:type="dxa" w:w="4252"/>
            <w:vAlign w:val="top"/>
          </w:tcPr>
          <w:p>
            <w:pPr>
              <w:jc w:val="left"/>
            </w:pPr>
            <w:r>
              <w:rPr>
                <w:sz w:val="18"/>
              </w:rPr>
              <w:t>Supplementary analysis on Fund IV LP MFN exposure. AHL's review decision determines the LPA amendment drafting approach. 22 May external deadline. Memo is ready; delay is the risk.</w:t>
            </w:r>
          </w:p>
        </w:tc>
        <w:tc>
          <w:tcPr>
            <w:tcW w:type="dxa" w:w="850"/>
            <w:vAlign w:val="top"/>
          </w:tcPr>
          <w:p>
            <w:pPr>
              <w:jc w:val="left"/>
            </w:pPr>
            <w:r>
              <w:rPr>
                <w:sz w:val="18"/>
              </w:rPr>
              <w:t>4 min</w:t>
            </w:r>
          </w:p>
        </w:tc>
      </w:tr>
      <w:tr>
        <w:tc>
          <w:tcPr>
            <w:tcW w:type="dxa" w:w="340"/>
            <w:vAlign w:val="top"/>
          </w:tcPr>
          <w:p>
            <w:pPr>
              <w:jc w:val="left"/>
            </w:pPr>
            <w:r>
              <w:rPr>
                <w:sz w:val="18"/>
              </w:rPr>
              <w:t>4</w:t>
            </w:r>
          </w:p>
        </w:tc>
        <w:tc>
          <w:tcPr>
            <w:tcW w:type="dxa" w:w="2551"/>
            <w:vAlign w:val="top"/>
          </w:tcPr>
          <w:p>
            <w:pPr>
              <w:jc w:val="left"/>
            </w:pPr>
            <w:r>
              <w:rPr>
                <w:sz w:val="18"/>
              </w:rPr>
              <w:t>Email — Alejandro Morales (a.morales@uriam.com): Cuatrecasas position</w:t>
            </w:r>
          </w:p>
        </w:tc>
        <w:tc>
          <w:tcPr>
            <w:tcW w:type="dxa" w:w="1587"/>
            <w:vAlign w:val="top"/>
          </w:tcPr>
          <w:p>
            <w:pPr>
              <w:jc w:val="left"/>
            </w:pPr>
            <w:r>
              <w:rPr>
                <w:sz w:val="18"/>
              </w:rPr>
              <w:t>Altissima (M17902.011)</w:t>
            </w:r>
          </w:p>
        </w:tc>
        <w:tc>
          <w:tcPr>
            <w:tcW w:type="dxa" w:w="4252"/>
            <w:vAlign w:val="top"/>
          </w:tcPr>
          <w:p>
            <w:pPr>
              <w:jc w:val="left"/>
            </w:pPr>
            <w:r>
              <w:rPr>
                <w:sz w:val="18"/>
              </w:rPr>
              <w:t>Cuatrecasas pre-litigation notice 7 May. Contains Uría Menéndez's tactical read and the 4–6 week proceedings window. Drives Wednesday strategy call urgency.</w:t>
            </w:r>
          </w:p>
        </w:tc>
        <w:tc>
          <w:tcPr>
            <w:tcW w:type="dxa" w:w="850"/>
            <w:vAlign w:val="top"/>
          </w:tcPr>
          <w:p>
            <w:pPr>
              <w:jc w:val="left"/>
            </w:pPr>
            <w:r>
              <w:rPr>
                <w:sz w:val="18"/>
              </w:rPr>
              <w:t>2 min</w:t>
            </w:r>
          </w:p>
        </w:tc>
      </w:tr>
      <w:tr>
        <w:tc>
          <w:tcPr>
            <w:tcW w:type="dxa" w:w="340"/>
            <w:vAlign w:val="top"/>
          </w:tcPr>
          <w:p>
            <w:pPr>
              <w:jc w:val="left"/>
            </w:pPr>
            <w:r>
              <w:rPr>
                <w:sz w:val="18"/>
              </w:rPr>
              <w:t>5</w:t>
            </w:r>
          </w:p>
        </w:tc>
        <w:tc>
          <w:tcPr>
            <w:tcW w:type="dxa" w:w="2551"/>
            <w:vAlign w:val="top"/>
          </w:tcPr>
          <w:p>
            <w:pPr>
              <w:jc w:val="left"/>
            </w:pPr>
            <w:r>
              <w:rPr>
                <w:sz w:val="18"/>
              </w:rPr>
              <w:t>Email — David Parris (d.parris@skadden.com): USPTO IPR update</w:t>
            </w:r>
          </w:p>
        </w:tc>
        <w:tc>
          <w:tcPr>
            <w:tcW w:type="dxa" w:w="1587"/>
            <w:vAlign w:val="top"/>
          </w:tcPr>
          <w:p>
            <w:pPr>
              <w:jc w:val="left"/>
            </w:pPr>
            <w:r>
              <w:rPr>
                <w:sz w:val="18"/>
              </w:rPr>
              <w:t>Aldwych (M18227.001)</w:t>
            </w:r>
          </w:p>
        </w:tc>
        <w:tc>
          <w:tcPr>
            <w:tcW w:type="dxa" w:w="4252"/>
            <w:vAlign w:val="top"/>
          </w:tcPr>
          <w:p>
            <w:pPr>
              <w:jc w:val="left"/>
            </w:pPr>
            <w:r>
              <w:rPr>
                <w:sz w:val="18"/>
              </w:rPr>
              <w:t>PTAB institution decision pending within 90 days. Contains Jamie Rodriguez's monitoring brief. Background needed before Thursday SC if asked about deal risk.</w:t>
            </w:r>
          </w:p>
        </w:tc>
        <w:tc>
          <w:tcPr>
            <w:tcW w:type="dxa" w:w="850"/>
            <w:vAlign w:val="top"/>
          </w:tcPr>
          <w:p>
            <w:pPr>
              <w:jc w:val="left"/>
            </w:pPr>
            <w:r>
              <w:rPr>
                <w:sz w:val="18"/>
              </w:rPr>
              <w:t>2 min</w:t>
            </w:r>
          </w:p>
        </w:tc>
      </w:tr>
    </w:tbl>
    <w:p>
      <w:pPr>
        <w:spacing w:before="80" w:after="80"/>
        <w:pBdr>
          <w:bottom w:val="single" w:sz="6" w:space="1" w:color="4472C4"/>
        </w:pBdr>
      </w:pPr>
    </w:p>
    <w:p>
      <w:pPr>
        <w:spacing w:before="160" w:after="80"/>
      </w:pPr>
      <w:r>
        <w:rPr>
          <w:b/>
          <w:color w:val="1F497D"/>
          <w:sz w:val="26"/>
        </w:rPr>
        <w:t>WEEK-AHEAD CALENDAR OVERLAY</w:t>
      </w:r>
    </w:p>
    <w:p>
      <w:pPr>
        <w:spacing w:before="0" w:after="80"/>
      </w:pPr>
      <w:r>
        <w:rPr>
          <w:b w:val="0"/>
          <w:i/>
          <w:sz w:val="20"/>
        </w:rPr>
        <w:t>Week of 11–16 May 2026. Calendar data not returned from connected calendar search — overlay built from correspondence.</w:t>
      </w:r>
    </w:p>
    <w:tbl>
      <w:tblPr>
        <w:tblStyle w:val="TableGrid"/>
        <w:tblW w:type="auto" w:w="0"/>
        <w:jc w:val="left"/>
        <w:tblLook w:firstColumn="1" w:firstRow="1" w:lastColumn="0" w:lastRow="0" w:noHBand="0" w:noVBand="1" w:val="04A0"/>
      </w:tblPr>
      <w:tblGrid>
        <w:gridCol w:w="3135"/>
        <w:gridCol w:w="3135"/>
        <w:gridCol w:w="3135"/>
      </w:tblGrid>
      <w:tr>
        <w:tc>
          <w:tcPr>
            <w:tcW w:type="dxa" w:w="1984"/>
            <w:shd w:val="clear" w:color="auto" w:fill="D9E1F2"/>
            <w:vAlign w:val="center"/>
          </w:tcPr>
          <w:p>
            <w:pPr>
              <w:jc w:val="left"/>
            </w:pPr>
            <w:r>
              <w:rPr>
                <w:b/>
                <w:sz w:val="18"/>
              </w:rPr>
              <w:t>Date</w:t>
            </w:r>
          </w:p>
        </w:tc>
        <w:tc>
          <w:tcPr>
            <w:tcW w:type="dxa" w:w="1701"/>
            <w:shd w:val="clear" w:color="auto" w:fill="D9E1F2"/>
            <w:vAlign w:val="center"/>
          </w:tcPr>
          <w:p>
            <w:pPr>
              <w:jc w:val="left"/>
            </w:pPr>
            <w:r>
              <w:rPr>
                <w:b/>
                <w:sz w:val="18"/>
              </w:rPr>
              <w:t>Matter</w:t>
            </w:r>
          </w:p>
        </w:tc>
        <w:tc>
          <w:tcPr>
            <w:tcW w:type="dxa" w:w="6236"/>
            <w:shd w:val="clear" w:color="auto" w:fill="D9E1F2"/>
            <w:vAlign w:val="center"/>
          </w:tcPr>
          <w:p>
            <w:pPr>
              <w:jc w:val="left"/>
            </w:pPr>
            <w:r>
              <w:rPr>
                <w:b/>
                <w:sz w:val="18"/>
              </w:rPr>
              <w:t>Item</w:t>
            </w:r>
          </w:p>
        </w:tc>
      </w:tr>
      <w:tr>
        <w:tc>
          <w:tcPr>
            <w:tcW w:type="dxa" w:w="1984"/>
            <w:vAlign w:val="top"/>
          </w:tcPr>
          <w:p>
            <w:pPr>
              <w:jc w:val="left"/>
            </w:pPr>
            <w:r>
              <w:rPr>
                <w:sz w:val="18"/>
              </w:rPr>
              <w:t>Mon 10 May — TODAY</w:t>
            </w:r>
          </w:p>
        </w:tc>
        <w:tc>
          <w:tcPr>
            <w:tcW w:type="dxa" w:w="1701"/>
            <w:vAlign w:val="top"/>
          </w:tcPr>
          <w:p>
            <w:pPr>
              <w:jc w:val="left"/>
            </w:pPr>
            <w:r>
              <w:rPr>
                <w:sz w:val="18"/>
              </w:rPr>
              <w:t>Aldwych (M18227.001)</w:t>
            </w:r>
          </w:p>
        </w:tc>
        <w:tc>
          <w:tcPr>
            <w:tcW w:type="dxa" w:w="6236"/>
            <w:vAlign w:val="top"/>
          </w:tcPr>
          <w:p>
            <w:pPr>
              <w:jc w:val="left"/>
            </w:pPr>
            <w:r>
              <w:rPr>
                <w:sz w:val="18"/>
              </w:rPr>
              <w:t>WIP flash → Marcus Lane | OVERDUE (agreed 09:00) | Send immediately</w:t>
            </w:r>
          </w:p>
        </w:tc>
      </w:tr>
      <w:tr>
        <w:tc>
          <w:tcPr>
            <w:tcW w:type="dxa" w:w="1984"/>
            <w:vAlign w:val="top"/>
          </w:tcPr>
          <w:p>
            <w:pPr>
              <w:jc w:val="left"/>
            </w:pPr>
            <w:r>
              <w:rPr>
                <w:sz w:val="18"/>
              </w:rPr>
              <w:t>Mon 10 May — TODAY</w:t>
            </w:r>
          </w:p>
        </w:tc>
        <w:tc>
          <w:tcPr>
            <w:tcW w:type="dxa" w:w="1701"/>
            <w:vAlign w:val="top"/>
          </w:tcPr>
          <w:p>
            <w:pPr>
              <w:jc w:val="left"/>
            </w:pPr>
            <w:r>
              <w:rPr>
                <w:sz w:val="18"/>
              </w:rPr>
              <w:t>Meridian (M20481.002)</w:t>
            </w:r>
          </w:p>
        </w:tc>
        <w:tc>
          <w:tcPr>
            <w:tcW w:type="dxa" w:w="6236"/>
            <w:vAlign w:val="top"/>
          </w:tcPr>
          <w:p>
            <w:pPr>
              <w:jc w:val="left"/>
            </w:pPr>
            <w:r>
              <w:rPr>
                <w:sz w:val="18"/>
              </w:rPr>
              <w:t>JMW direction on Czech FDI + supervisory board communication | Aisha holding | Today</w:t>
            </w:r>
          </w:p>
        </w:tc>
      </w:tr>
      <w:tr>
        <w:tc>
          <w:tcPr>
            <w:tcW w:type="dxa" w:w="1984"/>
            <w:vAlign w:val="top"/>
          </w:tcPr>
          <w:p>
            <w:pPr>
              <w:jc w:val="left"/>
            </w:pPr>
            <w:r>
              <w:rPr>
                <w:sz w:val="18"/>
              </w:rPr>
              <w:t>Mon 10 May — TODAY</w:t>
            </w:r>
          </w:p>
        </w:tc>
        <w:tc>
          <w:tcPr>
            <w:tcW w:type="dxa" w:w="1701"/>
            <w:vAlign w:val="top"/>
          </w:tcPr>
          <w:p>
            <w:pPr>
              <w:jc w:val="left"/>
            </w:pPr>
            <w:r>
              <w:rPr>
                <w:sz w:val="18"/>
              </w:rPr>
              <w:t>Altissima (M17902.011)</w:t>
            </w:r>
          </w:p>
        </w:tc>
        <w:tc>
          <w:tcPr>
            <w:tcW w:type="dxa" w:w="6236"/>
            <w:vAlign w:val="top"/>
          </w:tcPr>
          <w:p>
            <w:pPr>
              <w:jc w:val="left"/>
            </w:pPr>
            <w:r>
              <w:rPr>
                <w:sz w:val="18"/>
              </w:rPr>
              <w:t>Confirm Wednesday strategy call with Uría Menéndez (Ben + MKT) | Today</w:t>
            </w:r>
          </w:p>
        </w:tc>
      </w:tr>
      <w:tr>
        <w:tc>
          <w:tcPr>
            <w:tcW w:type="dxa" w:w="1984"/>
            <w:vAlign w:val="top"/>
          </w:tcPr>
          <w:p>
            <w:pPr>
              <w:jc w:val="left"/>
            </w:pPr>
            <w:r>
              <w:rPr>
                <w:sz w:val="18"/>
              </w:rPr>
              <w:t>Tue 11 May</w:t>
            </w:r>
          </w:p>
        </w:tc>
        <w:tc>
          <w:tcPr>
            <w:tcW w:type="dxa" w:w="1701"/>
            <w:vAlign w:val="top"/>
          </w:tcPr>
          <w:p>
            <w:pPr>
              <w:jc w:val="left"/>
            </w:pPr>
            <w:r>
              <w:rPr>
                <w:sz w:val="18"/>
              </w:rPr>
              <w:t>Altissima (M17902.011)</w:t>
            </w:r>
          </w:p>
        </w:tc>
        <w:tc>
          <w:tcPr>
            <w:tcW w:type="dxa" w:w="6236"/>
            <w:vAlign w:val="top"/>
          </w:tcPr>
          <w:p>
            <w:pPr>
              <w:jc w:val="left"/>
            </w:pPr>
            <w:r>
              <w:rPr>
                <w:sz w:val="18"/>
              </w:rPr>
              <w:t>Phase 3 work commences (£185k fixed fee, contested proceedings)</w:t>
            </w:r>
          </w:p>
        </w:tc>
      </w:tr>
      <w:tr>
        <w:tc>
          <w:tcPr>
            <w:tcW w:type="dxa" w:w="1984"/>
            <w:vAlign w:val="top"/>
          </w:tcPr>
          <w:p>
            <w:pPr>
              <w:jc w:val="left"/>
            </w:pPr>
            <w:r>
              <w:rPr>
                <w:sz w:val="18"/>
              </w:rPr>
              <w:t>Wed 12 May</w:t>
            </w:r>
          </w:p>
        </w:tc>
        <w:tc>
          <w:tcPr>
            <w:tcW w:type="dxa" w:w="1701"/>
            <w:vAlign w:val="top"/>
          </w:tcPr>
          <w:p>
            <w:pPr>
              <w:jc w:val="left"/>
            </w:pPr>
            <w:r>
              <w:rPr>
                <w:sz w:val="18"/>
              </w:rPr>
              <w:t>Altissima (M17902.011)</w:t>
            </w:r>
          </w:p>
        </w:tc>
        <w:tc>
          <w:tcPr>
            <w:tcW w:type="dxa" w:w="6236"/>
            <w:vAlign w:val="top"/>
          </w:tcPr>
          <w:p>
            <w:pPr>
              <w:jc w:val="left"/>
            </w:pPr>
            <w:r>
              <w:rPr>
                <w:sz w:val="18"/>
              </w:rPr>
              <w:t>Strategy call with Uría Menéndez (Alejandro Morales) | To be confirmed | MKT + Ben</w:t>
            </w:r>
          </w:p>
        </w:tc>
      </w:tr>
      <w:tr>
        <w:tc>
          <w:tcPr>
            <w:tcW w:type="dxa" w:w="1984"/>
            <w:vAlign w:val="top"/>
          </w:tcPr>
          <w:p>
            <w:pPr>
              <w:jc w:val="left"/>
            </w:pPr>
            <w:r>
              <w:rPr>
                <w:sz w:val="18"/>
              </w:rPr>
              <w:t>Wed 12 May</w:t>
            </w:r>
          </w:p>
        </w:tc>
        <w:tc>
          <w:tcPr>
            <w:tcW w:type="dxa" w:w="1701"/>
            <w:vAlign w:val="top"/>
          </w:tcPr>
          <w:p>
            <w:pPr>
              <w:jc w:val="left"/>
            </w:pPr>
            <w:r>
              <w:rPr>
                <w:sz w:val="18"/>
              </w:rPr>
              <w:t>Altissima (M17902.011)</w:t>
            </w:r>
          </w:p>
        </w:tc>
        <w:tc>
          <w:tcPr>
            <w:tcW w:type="dxa" w:w="6236"/>
            <w:vAlign w:val="top"/>
          </w:tcPr>
          <w:p>
            <w:pPr>
              <w:jc w:val="left"/>
            </w:pPr>
            <w:r>
              <w:rPr>
                <w:sz w:val="18"/>
              </w:rPr>
              <w:t>Sofia Esposito client call on Phase 3 timeline + Cuatrecasas outlook | Ben to arrange</w:t>
            </w:r>
          </w:p>
        </w:tc>
      </w:tr>
      <w:tr>
        <w:tc>
          <w:tcPr>
            <w:tcW w:type="dxa" w:w="1984"/>
            <w:vAlign w:val="top"/>
          </w:tcPr>
          <w:p>
            <w:pPr>
              <w:jc w:val="left"/>
            </w:pPr>
            <w:r>
              <w:rPr>
                <w:sz w:val="18"/>
              </w:rPr>
              <w:t>Wed 12 May (evening)</w:t>
            </w:r>
          </w:p>
        </w:tc>
        <w:tc>
          <w:tcPr>
            <w:tcW w:type="dxa" w:w="1701"/>
            <w:vAlign w:val="top"/>
          </w:tcPr>
          <w:p>
            <w:pPr>
              <w:jc w:val="left"/>
            </w:pPr>
            <w:r>
              <w:rPr>
                <w:sz w:val="18"/>
              </w:rPr>
              <w:t>Meridian (M20481.002)</w:t>
            </w:r>
          </w:p>
        </w:tc>
        <w:tc>
          <w:tcPr>
            <w:tcW w:type="dxa" w:w="6236"/>
            <w:vAlign w:val="top"/>
          </w:tcPr>
          <w:p>
            <w:pPr>
              <w:jc w:val="left"/>
            </w:pPr>
            <w:r>
              <w:rPr>
                <w:sz w:val="18"/>
              </w:rPr>
              <w:t>Status deck → Helena Boerger | Must arrive before 09:00 Thu for client review</w:t>
            </w:r>
          </w:p>
        </w:tc>
      </w:tr>
      <w:tr>
        <w:tc>
          <w:tcPr>
            <w:tcW w:type="dxa" w:w="1984"/>
            <w:vAlign w:val="top"/>
          </w:tcPr>
          <w:p>
            <w:pPr>
              <w:jc w:val="left"/>
            </w:pPr>
            <w:r>
              <w:rPr>
                <w:sz w:val="18"/>
              </w:rPr>
              <w:t>Thu 13 May</w:t>
            </w:r>
          </w:p>
        </w:tc>
        <w:tc>
          <w:tcPr>
            <w:tcW w:type="dxa" w:w="1701"/>
            <w:vAlign w:val="top"/>
          </w:tcPr>
          <w:p>
            <w:pPr>
              <w:jc w:val="left"/>
            </w:pPr>
            <w:r>
              <w:rPr>
                <w:sz w:val="18"/>
              </w:rPr>
              <w:t>Aldwych (M18227.001)</w:t>
            </w:r>
          </w:p>
        </w:tc>
        <w:tc>
          <w:tcPr>
            <w:tcW w:type="dxa" w:w="6236"/>
            <w:vAlign w:val="top"/>
          </w:tcPr>
          <w:p>
            <w:pPr>
              <w:jc w:val="left"/>
            </w:pPr>
            <w:r>
              <w:rPr>
                <w:sz w:val="18"/>
              </w:rPr>
              <w:t>SC briefing note → SVM overnight review | Note already drafted by Priya</w:t>
            </w:r>
          </w:p>
        </w:tc>
      </w:tr>
      <w:tr>
        <w:tc>
          <w:tcPr>
            <w:tcW w:type="dxa" w:w="1984"/>
            <w:vAlign w:val="top"/>
          </w:tcPr>
          <w:p>
            <w:pPr>
              <w:jc w:val="left"/>
            </w:pPr>
            <w:r>
              <w:rPr>
                <w:sz w:val="18"/>
              </w:rPr>
              <w:t>Thu 13 May (14:00 BST)</w:t>
            </w:r>
          </w:p>
        </w:tc>
        <w:tc>
          <w:tcPr>
            <w:tcW w:type="dxa" w:w="1701"/>
            <w:vAlign w:val="top"/>
          </w:tcPr>
          <w:p>
            <w:pPr>
              <w:jc w:val="left"/>
            </w:pPr>
            <w:r>
              <w:rPr>
                <w:sz w:val="18"/>
              </w:rPr>
              <w:t>Meridian (M20481.002)</w:t>
            </w:r>
          </w:p>
        </w:tc>
        <w:tc>
          <w:tcPr>
            <w:tcW w:type="dxa" w:w="6236"/>
            <w:vAlign w:val="top"/>
          </w:tcPr>
          <w:p>
            <w:pPr>
              <w:jc w:val="left"/>
            </w:pPr>
            <w:r>
              <w:rPr>
                <w:sz w:val="18"/>
              </w:rPr>
              <w:t>Mid-programme status call — Helena Boerger (Treasury, Meridian Industrial) | Scott leads</w:t>
            </w:r>
          </w:p>
        </w:tc>
      </w:tr>
      <w:tr>
        <w:tc>
          <w:tcPr>
            <w:tcW w:type="dxa" w:w="1984"/>
            <w:vAlign w:val="top"/>
          </w:tcPr>
          <w:p>
            <w:pPr>
              <w:jc w:val="left"/>
            </w:pPr>
            <w:r>
              <w:rPr>
                <w:sz w:val="18"/>
              </w:rPr>
              <w:t>Thu 13 May</w:t>
            </w:r>
          </w:p>
        </w:tc>
        <w:tc>
          <w:tcPr>
            <w:tcW w:type="dxa" w:w="1701"/>
            <w:vAlign w:val="top"/>
          </w:tcPr>
          <w:p>
            <w:pPr>
              <w:jc w:val="left"/>
            </w:pPr>
            <w:r>
              <w:rPr>
                <w:sz w:val="18"/>
              </w:rPr>
              <w:t>Aldwych (M18227.001)</w:t>
            </w:r>
          </w:p>
        </w:tc>
        <w:tc>
          <w:tcPr>
            <w:tcW w:type="dxa" w:w="6236"/>
            <w:vAlign w:val="top"/>
          </w:tcPr>
          <w:p>
            <w:pPr>
              <w:jc w:val="left"/>
            </w:pPr>
            <w:r>
              <w:rPr>
                <w:sz w:val="18"/>
              </w:rPr>
              <w:t>SC — next steering committee | SVM lead | Same dial-in</w:t>
            </w:r>
          </w:p>
        </w:tc>
      </w:tr>
      <w:tr>
        <w:tc>
          <w:tcPr>
            <w:tcW w:type="dxa" w:w="1984"/>
            <w:vAlign w:val="top"/>
          </w:tcPr>
          <w:p>
            <w:pPr>
              <w:jc w:val="left"/>
            </w:pPr>
            <w:r>
              <w:rPr>
                <w:sz w:val="18"/>
              </w:rPr>
              <w:t>Thu 13 May COB</w:t>
            </w:r>
          </w:p>
        </w:tc>
        <w:tc>
          <w:tcPr>
            <w:tcW w:type="dxa" w:w="1701"/>
            <w:vAlign w:val="top"/>
          </w:tcPr>
          <w:p>
            <w:pPr>
              <w:jc w:val="left"/>
            </w:pPr>
            <w:r>
              <w:rPr>
                <w:sz w:val="18"/>
              </w:rPr>
              <w:t>Meridian (M20481.002)</w:t>
            </w:r>
          </w:p>
        </w:tc>
        <w:tc>
          <w:tcPr>
            <w:tcW w:type="dxa" w:w="6236"/>
            <w:vAlign w:val="top"/>
          </w:tcPr>
          <w:p>
            <w:pPr>
              <w:jc w:val="left"/>
            </w:pPr>
            <w:r>
              <w:rPr>
                <w:sz w:val="18"/>
              </w:rPr>
              <w:t>Polish LC escalation trigger — Warsaw to revert by COB or escalate to next panel name (JMW instruction)</w:t>
            </w:r>
          </w:p>
        </w:tc>
      </w:tr>
      <w:tr>
        <w:tc>
          <w:tcPr>
            <w:tcW w:type="dxa" w:w="1984"/>
            <w:vAlign w:val="top"/>
          </w:tcPr>
          <w:p>
            <w:pPr>
              <w:jc w:val="left"/>
            </w:pPr>
            <w:r>
              <w:rPr>
                <w:sz w:val="18"/>
              </w:rPr>
              <w:t>Fri 14 May (expected)</w:t>
            </w:r>
          </w:p>
        </w:tc>
        <w:tc>
          <w:tcPr>
            <w:tcW w:type="dxa" w:w="1701"/>
            <w:vAlign w:val="top"/>
          </w:tcPr>
          <w:p>
            <w:pPr>
              <w:jc w:val="left"/>
            </w:pPr>
            <w:r>
              <w:rPr>
                <w:sz w:val="18"/>
              </w:rPr>
              <w:t>Meridian (M20481.002)</w:t>
            </w:r>
          </w:p>
        </w:tc>
        <w:tc>
          <w:tcPr>
            <w:tcW w:type="dxa" w:w="6236"/>
            <w:vAlign w:val="top"/>
          </w:tcPr>
          <w:p>
            <w:pPr>
              <w:jc w:val="left"/>
            </w:pPr>
            <w:r>
              <w:rPr>
                <w:sz w:val="18"/>
              </w:rPr>
              <w:t>Italian RE fee amendment countersignature expected from Wolfgang Steiner | Chase if not received</w:t>
            </w:r>
          </w:p>
        </w:tc>
      </w:tr>
      <w:tr>
        <w:tc>
          <w:tcPr>
            <w:tcW w:type="dxa" w:w="1984"/>
            <w:vAlign w:val="top"/>
          </w:tcPr>
          <w:p>
            <w:pPr>
              <w:jc w:val="left"/>
            </w:pPr>
            <w:r>
              <w:rPr>
                <w:sz w:val="18"/>
              </w:rPr>
              <w:t>Wk of 18 May</w:t>
            </w:r>
          </w:p>
        </w:tc>
        <w:tc>
          <w:tcPr>
            <w:tcW w:type="dxa" w:w="1701"/>
            <w:vAlign w:val="top"/>
          </w:tcPr>
          <w:p>
            <w:pPr>
              <w:jc w:val="left"/>
            </w:pPr>
            <w:r>
              <w:rPr>
                <w:sz w:val="18"/>
              </w:rPr>
              <w:t>Hartwick (M20602.001)</w:t>
            </w:r>
          </w:p>
        </w:tc>
        <w:tc>
          <w:tcPr>
            <w:tcW w:type="dxa" w:w="6236"/>
            <w:vAlign w:val="top"/>
          </w:tcPr>
          <w:p>
            <w:pPr>
              <w:jc w:val="left"/>
            </w:pPr>
            <w:r>
              <w:rPr>
                <w:sz w:val="18"/>
              </w:rPr>
              <w:t>Framework agreement call — Catherine Dell (Head of Exits, Hartwick PE) | SVM lead | To be scheduled</w:t>
            </w:r>
          </w:p>
        </w:tc>
      </w:tr>
      <w:tr>
        <w:tc>
          <w:tcPr>
            <w:tcW w:type="dxa" w:w="1984"/>
            <w:vAlign w:val="top"/>
          </w:tcPr>
          <w:p>
            <w:pPr>
              <w:jc w:val="left"/>
            </w:pPr>
            <w:r>
              <w:rPr>
                <w:sz w:val="18"/>
              </w:rPr>
              <w:t>22 May (hard deadline)</w:t>
            </w:r>
          </w:p>
        </w:tc>
        <w:tc>
          <w:tcPr>
            <w:tcW w:type="dxa" w:w="1701"/>
            <w:vAlign w:val="top"/>
          </w:tcPr>
          <w:p>
            <w:pPr>
              <w:jc w:val="left"/>
            </w:pPr>
            <w:r>
              <w:rPr>
                <w:sz w:val="18"/>
              </w:rPr>
              <w:t>Westcliff (M20118.003)</w:t>
            </w:r>
          </w:p>
        </w:tc>
        <w:tc>
          <w:tcPr>
            <w:tcW w:type="dxa" w:w="6236"/>
            <w:vAlign w:val="top"/>
          </w:tcPr>
          <w:p>
            <w:pPr>
              <w:jc w:val="left"/>
            </w:pPr>
            <w:r>
              <w:rPr>
                <w:sz w:val="18"/>
              </w:rPr>
              <w:t>LPA amendment draft → JB Remillard (QPEPP) | Gated on AHL review of MFN memo</w:t>
            </w:r>
          </w:p>
        </w:tc>
      </w:tr>
      <w:tr>
        <w:tc>
          <w:tcPr>
            <w:tcW w:type="dxa" w:w="1984"/>
            <w:vAlign w:val="top"/>
          </w:tcPr>
          <w:p>
            <w:pPr>
              <w:jc w:val="left"/>
            </w:pPr>
            <w:r>
              <w:rPr>
                <w:sz w:val="18"/>
              </w:rPr>
              <w:t>~4 Jul 2026</w:t>
            </w:r>
          </w:p>
        </w:tc>
        <w:tc>
          <w:tcPr>
            <w:tcW w:type="dxa" w:w="1701"/>
            <w:vAlign w:val="top"/>
          </w:tcPr>
          <w:p>
            <w:pPr>
              <w:jc w:val="left"/>
            </w:pPr>
            <w:r>
              <w:rPr>
                <w:sz w:val="18"/>
              </w:rPr>
              <w:t>Nexus (M19330.004)</w:t>
            </w:r>
          </w:p>
        </w:tc>
        <w:tc>
          <w:tcPr>
            <w:tcW w:type="dxa" w:w="6236"/>
            <w:vAlign w:val="top"/>
          </w:tcPr>
          <w:p>
            <w:pPr>
              <w:jc w:val="left"/>
            </w:pPr>
            <w:r>
              <w:rPr>
                <w:sz w:val="18"/>
              </w:rPr>
              <w:t>EMA initial review response expected (60-day window from 5 May filing)</w:t>
            </w:r>
          </w:p>
        </w:tc>
      </w:tr>
    </w:tbl>
    <w:p>
      <w:pPr>
        <w:spacing w:before="80" w:after="80"/>
        <w:pBdr>
          <w:bottom w:val="single" w:sz="6" w:space="1" w:color="4472C4"/>
        </w:pBdr>
      </w:pPr>
    </w:p>
    <w:p>
      <w:pPr>
        <w:spacing w:before="160" w:after="80"/>
      </w:pPr>
      <w:r>
        <w:rPr>
          <w:b/>
          <w:color w:val="1F497D"/>
          <w:sz w:val="26"/>
        </w:rPr>
        <w:t>HANDOFFS FLAGGED</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154"/>
            <w:shd w:val="clear" w:color="auto" w:fill="D9E1F2"/>
            <w:vAlign w:val="center"/>
          </w:tcPr>
          <w:p>
            <w:pPr>
              <w:jc w:val="left"/>
            </w:pPr>
            <w:r>
              <w:rPr>
                <w:b/>
                <w:sz w:val="18"/>
              </w:rPr>
              <w:t>Skill</w:t>
            </w:r>
          </w:p>
        </w:tc>
        <w:tc>
          <w:tcPr>
            <w:tcW w:type="dxa" w:w="1587"/>
            <w:shd w:val="clear" w:color="auto" w:fill="D9E1F2"/>
            <w:vAlign w:val="center"/>
          </w:tcPr>
          <w:p>
            <w:pPr>
              <w:jc w:val="left"/>
            </w:pPr>
            <w:r>
              <w:rPr>
                <w:b/>
                <w:sz w:val="18"/>
              </w:rPr>
              <w:t>Matter</w:t>
            </w:r>
          </w:p>
        </w:tc>
        <w:tc>
          <w:tcPr>
            <w:tcW w:type="dxa" w:w="4819"/>
            <w:shd w:val="clear" w:color="auto" w:fill="D9E1F2"/>
            <w:vAlign w:val="center"/>
          </w:tcPr>
          <w:p>
            <w:pPr>
              <w:jc w:val="left"/>
            </w:pPr>
            <w:r>
              <w:rPr>
                <w:b/>
                <w:sz w:val="18"/>
              </w:rPr>
              <w:t>Trigger</w:t>
            </w:r>
          </w:p>
        </w:tc>
        <w:tc>
          <w:tcPr>
            <w:tcW w:type="dxa" w:w="1361"/>
            <w:shd w:val="clear" w:color="auto" w:fill="D9E1F2"/>
            <w:vAlign w:val="center"/>
          </w:tcPr>
          <w:p>
            <w:pPr>
              <w:jc w:val="left"/>
            </w:pPr>
            <w:r>
              <w:rPr>
                <w:b/>
                <w:sz w:val="18"/>
              </w:rPr>
              <w:t>Priority</w:t>
            </w:r>
          </w:p>
        </w:tc>
      </w:tr>
      <w:tr>
        <w:tc>
          <w:tcPr>
            <w:tcW w:type="dxa" w:w="2154"/>
            <w:vAlign w:val="top"/>
          </w:tcPr>
          <w:p>
            <w:pPr>
              <w:jc w:val="left"/>
            </w:pPr>
            <w:r>
              <w:rPr>
                <w:sz w:val="18"/>
              </w:rPr>
              <w:t>risk-and-issues-manager</w:t>
            </w:r>
          </w:p>
        </w:tc>
        <w:tc>
          <w:tcPr>
            <w:tcW w:type="dxa" w:w="1587"/>
            <w:vAlign w:val="top"/>
          </w:tcPr>
          <w:p>
            <w:pPr>
              <w:jc w:val="left"/>
            </w:pPr>
            <w:r>
              <w:rPr>
                <w:sz w:val="18"/>
              </w:rPr>
              <w:t>Meridian (M20481.002)</w:t>
            </w:r>
          </w:p>
        </w:tc>
        <w:tc>
          <w:tcPr>
            <w:tcW w:type="dxa" w:w="4819"/>
            <w:vAlign w:val="top"/>
          </w:tcPr>
          <w:p>
            <w:pPr>
              <w:jc w:val="left"/>
            </w:pPr>
            <w:r>
              <w:rPr>
                <w:sz w:val="18"/>
              </w:rPr>
              <w:t>Czech FDI FISA filing confirmed mandatory — new issue requiring RAID log entry. Assumption (no FISA obligation) has been invalidated by CZ counsel assessment.</w:t>
            </w:r>
          </w:p>
        </w:tc>
        <w:tc>
          <w:tcPr>
            <w:tcW w:type="dxa" w:w="1361"/>
            <w:vAlign w:val="top"/>
          </w:tcPr>
          <w:p>
            <w:pPr>
              <w:jc w:val="left"/>
            </w:pPr>
            <w:r>
              <w:rPr>
                <w:sz w:val="18"/>
              </w:rPr>
              <w:t>CRITICAL</w:t>
            </w:r>
          </w:p>
        </w:tc>
      </w:tr>
      <w:tr>
        <w:tc>
          <w:tcPr>
            <w:tcW w:type="dxa" w:w="2154"/>
            <w:vAlign w:val="top"/>
          </w:tcPr>
          <w:p>
            <w:pPr>
              <w:jc w:val="left"/>
            </w:pPr>
            <w:r>
              <w:rPr>
                <w:sz w:val="18"/>
              </w:rPr>
              <w:t>risk-and-issues-manager</w:t>
            </w:r>
          </w:p>
        </w:tc>
        <w:tc>
          <w:tcPr>
            <w:tcW w:type="dxa" w:w="1587"/>
            <w:vAlign w:val="top"/>
          </w:tcPr>
          <w:p>
            <w:pPr>
              <w:jc w:val="left"/>
            </w:pPr>
            <w:r>
              <w:rPr>
                <w:sz w:val="18"/>
              </w:rPr>
              <w:t>Aldwych (M18227.001)</w:t>
            </w:r>
          </w:p>
        </w:tc>
        <w:tc>
          <w:tcPr>
            <w:tcW w:type="dxa" w:w="4819"/>
            <w:vAlign w:val="top"/>
          </w:tcPr>
          <w:p>
            <w:pPr>
              <w:jc w:val="left"/>
            </w:pPr>
            <w:r>
              <w:rPr>
                <w:sz w:val="18"/>
              </w:rPr>
              <w:t>PTAB institution decision risk — update RAID log: Baker Industrial IPR petition accorded filing date, 90-day window running. Escrow holdback accepted.</w:t>
            </w:r>
          </w:p>
        </w:tc>
        <w:tc>
          <w:tcPr>
            <w:tcW w:type="dxa" w:w="1361"/>
            <w:vAlign w:val="top"/>
          </w:tcPr>
          <w:p>
            <w:pPr>
              <w:jc w:val="left"/>
            </w:pPr>
            <w:r>
              <w:rPr>
                <w:sz w:val="18"/>
              </w:rPr>
              <w:t>HIGH</w:t>
            </w:r>
          </w:p>
        </w:tc>
      </w:tr>
      <w:tr>
        <w:tc>
          <w:tcPr>
            <w:tcW w:type="dxa" w:w="2154"/>
            <w:vAlign w:val="top"/>
          </w:tcPr>
          <w:p>
            <w:pPr>
              <w:jc w:val="left"/>
            </w:pPr>
            <w:r>
              <w:rPr>
                <w:sz w:val="18"/>
              </w:rPr>
              <w:t>local-counsel-manager</w:t>
            </w:r>
          </w:p>
        </w:tc>
        <w:tc>
          <w:tcPr>
            <w:tcW w:type="dxa" w:w="1587"/>
            <w:vAlign w:val="top"/>
          </w:tcPr>
          <w:p>
            <w:pPr>
              <w:jc w:val="left"/>
            </w:pPr>
            <w:r>
              <w:rPr>
                <w:sz w:val="18"/>
              </w:rPr>
              <w:t>Meridian (M20481.002)</w:t>
            </w:r>
          </w:p>
        </w:tc>
        <w:tc>
          <w:tcPr>
            <w:tcW w:type="dxa" w:w="4819"/>
            <w:vAlign w:val="top"/>
          </w:tcPr>
          <w:p>
            <w:pPr>
              <w:jc w:val="left"/>
            </w:pPr>
            <w:r>
              <w:rPr>
                <w:sz w:val="18"/>
              </w:rPr>
              <w:t>Polish LC (Warsaw) non-response — 38 days on transfer pricing query. Escalation trigger Thursday COB. Formal LC performance note required.</w:t>
            </w:r>
          </w:p>
        </w:tc>
        <w:tc>
          <w:tcPr>
            <w:tcW w:type="dxa" w:w="1361"/>
            <w:vAlign w:val="top"/>
          </w:tcPr>
          <w:p>
            <w:pPr>
              <w:jc w:val="left"/>
            </w:pPr>
            <w:r>
              <w:rPr>
                <w:sz w:val="18"/>
              </w:rPr>
              <w:t>HIGH</w:t>
            </w:r>
          </w:p>
        </w:tc>
      </w:tr>
      <w:tr>
        <w:tc>
          <w:tcPr>
            <w:tcW w:type="dxa" w:w="2154"/>
            <w:vAlign w:val="top"/>
          </w:tcPr>
          <w:p>
            <w:pPr>
              <w:jc w:val="left"/>
            </w:pPr>
            <w:r>
              <w:rPr>
                <w:sz w:val="18"/>
              </w:rPr>
              <w:t>scope-change-controller</w:t>
            </w:r>
          </w:p>
        </w:tc>
        <w:tc>
          <w:tcPr>
            <w:tcW w:type="dxa" w:w="1587"/>
            <w:vAlign w:val="top"/>
          </w:tcPr>
          <w:p>
            <w:pPr>
              <w:jc w:val="left"/>
            </w:pPr>
            <w:r>
              <w:rPr>
                <w:sz w:val="18"/>
              </w:rPr>
              <w:t>Meridian (M20481.002)</w:t>
            </w:r>
          </w:p>
        </w:tc>
        <w:tc>
          <w:tcPr>
            <w:tcW w:type="dxa" w:w="4819"/>
            <w:vAlign w:val="top"/>
          </w:tcPr>
          <w:p>
            <w:pPr>
              <w:jc w:val="left"/>
            </w:pPr>
            <w:r>
              <w:rPr>
                <w:sz w:val="18"/>
              </w:rPr>
              <w:t>Italian RE workstream added to programme scope — formal OOS documentation required for £85k additional fixed fee amendment.</w:t>
            </w:r>
          </w:p>
        </w:tc>
        <w:tc>
          <w:tcPr>
            <w:tcW w:type="dxa" w:w="1361"/>
            <w:vAlign w:val="top"/>
          </w:tcPr>
          <w:p>
            <w:pPr>
              <w:jc w:val="left"/>
            </w:pPr>
            <w:r>
              <w:rPr>
                <w:sz w:val="18"/>
              </w:rPr>
              <w:t>MEDIUM</w:t>
            </w:r>
          </w:p>
        </w:tc>
      </w:tr>
      <w:tr>
        <w:tc>
          <w:tcPr>
            <w:tcW w:type="dxa" w:w="2154"/>
            <w:vAlign w:val="top"/>
          </w:tcPr>
          <w:p>
            <w:pPr>
              <w:jc w:val="left"/>
            </w:pPr>
            <w:r>
              <w:rPr>
                <w:sz w:val="18"/>
              </w:rPr>
              <w:t>scope-change-controller</w:t>
            </w:r>
          </w:p>
        </w:tc>
        <w:tc>
          <w:tcPr>
            <w:tcW w:type="dxa" w:w="1587"/>
            <w:vAlign w:val="top"/>
          </w:tcPr>
          <w:p>
            <w:pPr>
              <w:jc w:val="left"/>
            </w:pPr>
            <w:r>
              <w:rPr>
                <w:sz w:val="18"/>
              </w:rPr>
              <w:t>Altissima (M17902.011)</w:t>
            </w:r>
          </w:p>
        </w:tc>
        <w:tc>
          <w:tcPr>
            <w:tcW w:type="dxa" w:w="4819"/>
            <w:vAlign w:val="top"/>
          </w:tcPr>
          <w:p>
            <w:pPr>
              <w:jc w:val="left"/>
            </w:pPr>
            <w:r>
              <w:rPr>
                <w:sz w:val="18"/>
              </w:rPr>
              <w:t>Monitor Wednesday strategy call — if Phase 3 fixed fee (£185k) scope assumptions are challenged by Cuatrecasas proceedings complexity, formal scope change assessment required.</w:t>
            </w:r>
          </w:p>
        </w:tc>
        <w:tc>
          <w:tcPr>
            <w:tcW w:type="dxa" w:w="1361"/>
            <w:vAlign w:val="top"/>
          </w:tcPr>
          <w:p>
            <w:pPr>
              <w:jc w:val="left"/>
            </w:pPr>
            <w:r>
              <w:rPr>
                <w:sz w:val="18"/>
              </w:rPr>
              <w:t>MEDIUM — watch</w:t>
            </w:r>
          </w:p>
        </w:tc>
      </w:tr>
      <w:tr>
        <w:tc>
          <w:tcPr>
            <w:tcW w:type="dxa" w:w="2154"/>
            <w:vAlign w:val="top"/>
          </w:tcPr>
          <w:p>
            <w:pPr>
              <w:jc w:val="left"/>
            </w:pPr>
            <w:r>
              <w:rPr>
                <w:sz w:val="18"/>
              </w:rPr>
              <w:t>status-report-drafter</w:t>
            </w:r>
          </w:p>
        </w:tc>
        <w:tc>
          <w:tcPr>
            <w:tcW w:type="dxa" w:w="1587"/>
            <w:vAlign w:val="top"/>
          </w:tcPr>
          <w:p>
            <w:pPr>
              <w:jc w:val="left"/>
            </w:pPr>
            <w:r>
              <w:rPr>
                <w:sz w:val="18"/>
              </w:rPr>
              <w:t>Meridian (M20481.002)</w:t>
            </w:r>
          </w:p>
        </w:tc>
        <w:tc>
          <w:tcPr>
            <w:tcW w:type="dxa" w:w="4819"/>
            <w:vAlign w:val="top"/>
          </w:tcPr>
          <w:p>
            <w:pPr>
              <w:jc w:val="left"/>
            </w:pPr>
            <w:r>
              <w:rPr>
                <w:sz w:val="18"/>
              </w:rPr>
              <w:t>Thursday 14 May status call with Helena Boerger requires status deck — invoke after briefing to produce distributable deck.</w:t>
            </w:r>
          </w:p>
        </w:tc>
        <w:tc>
          <w:tcPr>
            <w:tcW w:type="dxa" w:w="1361"/>
            <w:vAlign w:val="top"/>
          </w:tcPr>
          <w:p>
            <w:pPr>
              <w:jc w:val="left"/>
            </w:pPr>
            <w:r>
              <w:rPr>
                <w:sz w:val="18"/>
              </w:rPr>
              <w:t>HIGH — by Wed evening</w:t>
            </w:r>
          </w:p>
        </w:tc>
      </w:tr>
      <w:tr>
        <w:tc>
          <w:tcPr>
            <w:tcW w:type="dxa" w:w="2154"/>
            <w:vAlign w:val="top"/>
          </w:tcPr>
          <w:p>
            <w:pPr>
              <w:jc w:val="left"/>
            </w:pPr>
            <w:r>
              <w:rPr>
                <w:sz w:val="18"/>
              </w:rPr>
              <w:t>matter-drill-down</w:t>
            </w:r>
          </w:p>
        </w:tc>
        <w:tc>
          <w:tcPr>
            <w:tcW w:type="dxa" w:w="1587"/>
            <w:vAlign w:val="top"/>
          </w:tcPr>
          <w:p>
            <w:pPr>
              <w:jc w:val="left"/>
            </w:pPr>
            <w:r>
              <w:rPr>
                <w:sz w:val="18"/>
              </w:rPr>
              <w:t>Aldwych (M18227.001)</w:t>
            </w:r>
          </w:p>
        </w:tc>
        <w:tc>
          <w:tcPr>
            <w:tcW w:type="dxa" w:w="4819"/>
            <w:vAlign w:val="top"/>
          </w:tcPr>
          <w:p>
            <w:pPr>
              <w:jc w:val="left"/>
            </w:pPr>
            <w:r>
              <w:rPr>
                <w:sz w:val="18"/>
              </w:rPr>
              <w:t>Thursday SC requires SVM to have settled position on indemnification cap — invoke for full working view if SVM needs deep-dive on negotiation context.</w:t>
            </w:r>
          </w:p>
        </w:tc>
        <w:tc>
          <w:tcPr>
            <w:tcW w:type="dxa" w:w="1361"/>
            <w:vAlign w:val="top"/>
          </w:tcPr>
          <w:p>
            <w:pPr>
              <w:jc w:val="left"/>
            </w:pPr>
            <w:r>
              <w:rPr>
                <w:sz w:val="18"/>
              </w:rPr>
              <w:t>MEDIUM</w:t>
            </w:r>
          </w:p>
        </w:tc>
      </w:tr>
      <w:tr>
        <w:tc>
          <w:tcPr>
            <w:tcW w:type="dxa" w:w="2154"/>
            <w:vAlign w:val="top"/>
          </w:tcPr>
          <w:p>
            <w:pPr>
              <w:jc w:val="left"/>
            </w:pPr>
            <w:r>
              <w:rPr>
                <w:sz w:val="18"/>
              </w:rPr>
              <w:t>budget-and-fee-manager</w:t>
            </w:r>
          </w:p>
        </w:tc>
        <w:tc>
          <w:tcPr>
            <w:tcW w:type="dxa" w:w="1587"/>
            <w:vAlign w:val="top"/>
          </w:tcPr>
          <w:p>
            <w:pPr>
              <w:jc w:val="left"/>
            </w:pPr>
            <w:r>
              <w:rPr>
                <w:sz w:val="18"/>
              </w:rPr>
              <w:t>Altissima (M17902.011)</w:t>
            </w:r>
          </w:p>
        </w:tc>
        <w:tc>
          <w:tcPr>
            <w:tcW w:type="dxa" w:w="4819"/>
            <w:vAlign w:val="top"/>
          </w:tcPr>
          <w:p>
            <w:pPr>
              <w:jc w:val="left"/>
            </w:pPr>
            <w:r>
              <w:rPr>
                <w:sz w:val="18"/>
              </w:rPr>
              <w:t>Phase 3 fixed fee £185k signed. Monitor scope vs fee assumption at Wednesday strategy call — invoke if scope escalation risk materialises.</w:t>
            </w:r>
          </w:p>
        </w:tc>
        <w:tc>
          <w:tcPr>
            <w:tcW w:type="dxa" w:w="1361"/>
            <w:vAlign w:val="top"/>
          </w:tcPr>
          <w:p>
            <w:pPr>
              <w:jc w:val="left"/>
            </w:pPr>
            <w:r>
              <w:rPr>
                <w:sz w:val="18"/>
              </w:rPr>
              <w:t>LOW — watch</w:t>
            </w:r>
          </w:p>
        </w:tc>
      </w:tr>
    </w:tbl>
    <w:p>
      <w:pPr>
        <w:spacing w:before="80" w:after="80"/>
        <w:pBdr>
          <w:bottom w:val="single" w:sz="6" w:space="1" w:color="4472C4"/>
        </w:pBdr>
      </w:pPr>
    </w:p>
    <w:p>
      <w:pPr>
        <w:spacing w:before="80" w:after="0"/>
      </w:pPr>
      <w:r>
        <w:rPr>
          <w:b/>
          <w:sz w:val="18"/>
        </w:rPr>
        <w:t xml:space="preserve">End of briefing.  </w:t>
      </w:r>
      <w:r>
        <w:rPr>
          <w:i/>
          <w:color w:val="595959"/>
          <w:sz w:val="16"/>
        </w:rPr>
        <w:t>Information to confirm: RAG status, fee models, and WIP figures not available in inputs — placeholder [TBC] used. Nexus lead partner not identified from correspondence. SVM, AHL, MKT full names not resolved from inputs — confirm against firm directory.</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