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51A" w:rsidRDefault="00FE0BA2" w:rsidP="00286B33">
      <w:pPr>
        <w:jc w:val="both"/>
        <w:rPr>
          <w:rFonts w:ascii="Times New Roman" w:hAnsi="Times New Roman" w:cs="Times New Roman"/>
          <w:sz w:val="56"/>
          <w:szCs w:val="56"/>
        </w:rPr>
      </w:pPr>
      <w:r>
        <w:rPr>
          <w:rFonts w:ascii="Times New Roman" w:hAnsi="Times New Roman" w:cs="Times New Roman"/>
          <w:sz w:val="56"/>
          <w:szCs w:val="56"/>
        </w:rPr>
        <w:t xml:space="preserve">A.K GOPALAN </w:t>
      </w:r>
      <w:r w:rsidR="00DE3D2E">
        <w:rPr>
          <w:rFonts w:ascii="Times New Roman" w:hAnsi="Times New Roman" w:cs="Times New Roman"/>
          <w:sz w:val="56"/>
          <w:szCs w:val="56"/>
        </w:rPr>
        <w:t>V. STATE OF MADRAS (P</w:t>
      </w:r>
      <w:r w:rsidR="006F7B3A">
        <w:rPr>
          <w:rFonts w:ascii="Times New Roman" w:hAnsi="Times New Roman" w:cs="Times New Roman"/>
          <w:sz w:val="56"/>
          <w:szCs w:val="56"/>
        </w:rPr>
        <w:t>reventive detention Case</w:t>
      </w:r>
      <w:r w:rsidR="00DE3D2E">
        <w:rPr>
          <w:rFonts w:ascii="Times New Roman" w:hAnsi="Times New Roman" w:cs="Times New Roman"/>
          <w:sz w:val="56"/>
          <w:szCs w:val="56"/>
        </w:rPr>
        <w:t>)</w:t>
      </w:r>
    </w:p>
    <w:p w:rsidR="006F7B3A" w:rsidRDefault="006F7B3A" w:rsidP="00286B33">
      <w:pPr>
        <w:jc w:val="both"/>
        <w:rPr>
          <w:rFonts w:ascii="Times New Roman" w:hAnsi="Times New Roman" w:cs="Times New Roman"/>
          <w:sz w:val="40"/>
          <w:szCs w:val="40"/>
        </w:rPr>
      </w:pPr>
    </w:p>
    <w:p w:rsidR="006F7B3A" w:rsidRPr="006F7B3A" w:rsidRDefault="00DE3D2E" w:rsidP="00286B33">
      <w:pPr>
        <w:jc w:val="both"/>
        <w:rPr>
          <w:rFonts w:ascii="Times New Roman" w:hAnsi="Times New Roman" w:cs="Times New Roman"/>
          <w:sz w:val="36"/>
          <w:szCs w:val="36"/>
        </w:rPr>
      </w:pPr>
      <w:r w:rsidRPr="006F7B3A">
        <w:rPr>
          <w:rFonts w:ascii="Times New Roman" w:hAnsi="Times New Roman" w:cs="Times New Roman"/>
          <w:sz w:val="36"/>
          <w:szCs w:val="36"/>
        </w:rPr>
        <w:t>PETITIONER:</w:t>
      </w:r>
      <w:r w:rsidR="006F7B3A" w:rsidRPr="006F7B3A">
        <w:rPr>
          <w:rFonts w:ascii="Times New Roman" w:hAnsi="Times New Roman" w:cs="Times New Roman"/>
          <w:sz w:val="36"/>
          <w:szCs w:val="36"/>
        </w:rPr>
        <w:t xml:space="preserve"> A.K GOPALAN</w:t>
      </w:r>
    </w:p>
    <w:p w:rsidR="006F7B3A" w:rsidRPr="006F7B3A" w:rsidRDefault="00DE3D2E" w:rsidP="00286B33">
      <w:pPr>
        <w:jc w:val="both"/>
        <w:rPr>
          <w:rFonts w:ascii="Times New Roman" w:hAnsi="Times New Roman" w:cs="Times New Roman"/>
          <w:sz w:val="36"/>
          <w:szCs w:val="36"/>
        </w:rPr>
      </w:pPr>
      <w:r w:rsidRPr="006F7B3A">
        <w:rPr>
          <w:rFonts w:ascii="Times New Roman" w:hAnsi="Times New Roman" w:cs="Times New Roman"/>
          <w:sz w:val="36"/>
          <w:szCs w:val="36"/>
        </w:rPr>
        <w:t>RESPONDENT:</w:t>
      </w:r>
      <w:r w:rsidR="006F7B3A" w:rsidRPr="006F7B3A">
        <w:rPr>
          <w:rFonts w:ascii="Times New Roman" w:hAnsi="Times New Roman" w:cs="Times New Roman"/>
          <w:sz w:val="36"/>
          <w:szCs w:val="36"/>
        </w:rPr>
        <w:t xml:space="preserve">  THE STATE OF MADRAS.</w:t>
      </w:r>
    </w:p>
    <w:p w:rsidR="006F7B3A" w:rsidRPr="006F7B3A" w:rsidRDefault="006F7B3A" w:rsidP="00286B33">
      <w:pPr>
        <w:jc w:val="both"/>
        <w:rPr>
          <w:rFonts w:ascii="Times New Roman" w:hAnsi="Times New Roman" w:cs="Times New Roman"/>
          <w:sz w:val="36"/>
          <w:szCs w:val="36"/>
        </w:rPr>
      </w:pPr>
      <w:r w:rsidRPr="006F7B3A">
        <w:rPr>
          <w:rFonts w:ascii="Times New Roman" w:hAnsi="Times New Roman" w:cs="Times New Roman"/>
          <w:sz w:val="36"/>
          <w:szCs w:val="36"/>
        </w:rPr>
        <w:t>DATE OF JUDGMENT: 19/05/1950</w:t>
      </w:r>
    </w:p>
    <w:p w:rsidR="006F7B3A" w:rsidRPr="006F7B3A" w:rsidRDefault="00DE3D2E" w:rsidP="00286B33">
      <w:pPr>
        <w:jc w:val="both"/>
        <w:rPr>
          <w:rFonts w:ascii="Times New Roman" w:hAnsi="Times New Roman" w:cs="Times New Roman"/>
          <w:sz w:val="36"/>
          <w:szCs w:val="36"/>
        </w:rPr>
      </w:pPr>
      <w:r w:rsidRPr="006F7B3A">
        <w:rPr>
          <w:rFonts w:ascii="Times New Roman" w:hAnsi="Times New Roman" w:cs="Times New Roman"/>
          <w:sz w:val="36"/>
          <w:szCs w:val="36"/>
        </w:rPr>
        <w:t>CITATION</w:t>
      </w:r>
      <w:r>
        <w:rPr>
          <w:rFonts w:ascii="Times New Roman" w:hAnsi="Times New Roman" w:cs="Times New Roman"/>
          <w:sz w:val="36"/>
          <w:szCs w:val="36"/>
        </w:rPr>
        <w:t>:</w:t>
      </w:r>
      <w:r w:rsidR="006F7B3A" w:rsidRPr="006F7B3A">
        <w:rPr>
          <w:rFonts w:ascii="Times New Roman" w:hAnsi="Times New Roman" w:cs="Times New Roman"/>
          <w:sz w:val="36"/>
          <w:szCs w:val="36"/>
        </w:rPr>
        <w:t xml:space="preserve"> 1950 AIR 27, 1950 SCR 88</w:t>
      </w:r>
    </w:p>
    <w:p w:rsidR="006F7B3A" w:rsidRDefault="006F7B3A" w:rsidP="00286B33">
      <w:pPr>
        <w:jc w:val="both"/>
        <w:rPr>
          <w:rFonts w:ascii="Times New Roman" w:hAnsi="Times New Roman" w:cs="Times New Roman"/>
          <w:sz w:val="36"/>
          <w:szCs w:val="36"/>
        </w:rPr>
      </w:pPr>
      <w:r w:rsidRPr="006F7B3A">
        <w:rPr>
          <w:rFonts w:ascii="Times New Roman" w:hAnsi="Times New Roman" w:cs="Times New Roman"/>
          <w:sz w:val="36"/>
          <w:szCs w:val="36"/>
        </w:rPr>
        <w:t xml:space="preserve"> LAWS </w:t>
      </w:r>
      <w:r>
        <w:rPr>
          <w:rFonts w:ascii="Times New Roman" w:hAnsi="Times New Roman" w:cs="Times New Roman"/>
          <w:sz w:val="36"/>
          <w:szCs w:val="36"/>
        </w:rPr>
        <w:t>INVOLVED: Preventive Detention Act, 1950</w:t>
      </w:r>
    </w:p>
    <w:p w:rsidR="006F7B3A" w:rsidRDefault="006F7B3A" w:rsidP="00286B33">
      <w:pPr>
        <w:jc w:val="both"/>
        <w:rPr>
          <w:rFonts w:ascii="Times New Roman" w:hAnsi="Times New Roman" w:cs="Times New Roman"/>
          <w:sz w:val="36"/>
          <w:szCs w:val="36"/>
        </w:rPr>
      </w:pPr>
      <w:r>
        <w:rPr>
          <w:rFonts w:ascii="Times New Roman" w:hAnsi="Times New Roman" w:cs="Times New Roman"/>
          <w:sz w:val="36"/>
          <w:szCs w:val="36"/>
        </w:rPr>
        <w:t xml:space="preserve"> Art. 13, Art.19,</w:t>
      </w:r>
      <w:r w:rsidR="00A90C37">
        <w:rPr>
          <w:rFonts w:ascii="Times New Roman" w:hAnsi="Times New Roman" w:cs="Times New Roman"/>
          <w:sz w:val="36"/>
          <w:szCs w:val="36"/>
        </w:rPr>
        <w:t xml:space="preserve"> </w:t>
      </w:r>
      <w:r>
        <w:rPr>
          <w:rFonts w:ascii="Times New Roman" w:hAnsi="Times New Roman" w:cs="Times New Roman"/>
          <w:sz w:val="36"/>
          <w:szCs w:val="36"/>
        </w:rPr>
        <w:t xml:space="preserve">Art. 22, Art.21 of constitution </w:t>
      </w:r>
      <w:r w:rsidR="0085551A">
        <w:rPr>
          <w:rFonts w:ascii="Times New Roman" w:hAnsi="Times New Roman" w:cs="Times New Roman"/>
          <w:sz w:val="36"/>
          <w:szCs w:val="36"/>
        </w:rPr>
        <w:t xml:space="preserve">of </w:t>
      </w:r>
      <w:r>
        <w:rPr>
          <w:rFonts w:ascii="Times New Roman" w:hAnsi="Times New Roman" w:cs="Times New Roman"/>
          <w:sz w:val="36"/>
          <w:szCs w:val="36"/>
        </w:rPr>
        <w:t>India.</w:t>
      </w:r>
    </w:p>
    <w:p w:rsidR="00637604" w:rsidRDefault="00637604" w:rsidP="00286B33">
      <w:pPr>
        <w:jc w:val="both"/>
        <w:rPr>
          <w:rFonts w:ascii="Times New Roman" w:hAnsi="Times New Roman" w:cs="Times New Roman"/>
          <w:sz w:val="36"/>
          <w:szCs w:val="36"/>
        </w:rPr>
      </w:pPr>
    </w:p>
    <w:p w:rsidR="00637604" w:rsidRDefault="00637604" w:rsidP="00286B33">
      <w:pPr>
        <w:jc w:val="both"/>
        <w:rPr>
          <w:rFonts w:ascii="Times New Roman" w:hAnsi="Times New Roman" w:cs="Times New Roman"/>
          <w:sz w:val="36"/>
          <w:szCs w:val="36"/>
        </w:rPr>
      </w:pPr>
      <w:r>
        <w:rPr>
          <w:rFonts w:ascii="Times New Roman" w:hAnsi="Times New Roman" w:cs="Times New Roman"/>
          <w:sz w:val="36"/>
          <w:szCs w:val="36"/>
        </w:rPr>
        <w:t xml:space="preserve"> BRIEF FACTS AND PROCEDURAL HISTORY:</w:t>
      </w:r>
    </w:p>
    <w:p w:rsidR="00DE3D2E" w:rsidRDefault="00976816" w:rsidP="00286B33">
      <w:pPr>
        <w:jc w:val="both"/>
        <w:rPr>
          <w:rFonts w:ascii="Times New Roman" w:hAnsi="Times New Roman" w:cs="Times New Roman"/>
          <w:sz w:val="36"/>
          <w:szCs w:val="36"/>
        </w:rPr>
      </w:pPr>
      <w:r>
        <w:rPr>
          <w:rFonts w:ascii="Times New Roman" w:hAnsi="Times New Roman" w:cs="Times New Roman"/>
          <w:sz w:val="36"/>
          <w:szCs w:val="36"/>
        </w:rPr>
        <w:t>1. The</w:t>
      </w:r>
      <w:r w:rsidR="00286B33">
        <w:rPr>
          <w:rFonts w:ascii="Times New Roman" w:hAnsi="Times New Roman" w:cs="Times New Roman"/>
          <w:sz w:val="36"/>
          <w:szCs w:val="36"/>
        </w:rPr>
        <w:t xml:space="preserve"> petitioner</w:t>
      </w:r>
      <w:r w:rsidR="00DE3D2E">
        <w:rPr>
          <w:rFonts w:ascii="Times New Roman" w:hAnsi="Times New Roman" w:cs="Times New Roman"/>
          <w:sz w:val="36"/>
          <w:szCs w:val="36"/>
        </w:rPr>
        <w:t>, A.K Gopalan, was previously detained and sentenced to various terms of imprisonment under ordinary law but most of the times his det</w:t>
      </w:r>
      <w:r>
        <w:rPr>
          <w:rFonts w:ascii="Times New Roman" w:hAnsi="Times New Roman" w:cs="Times New Roman"/>
          <w:sz w:val="36"/>
          <w:szCs w:val="36"/>
        </w:rPr>
        <w:t>ention was set aside.</w:t>
      </w:r>
    </w:p>
    <w:p w:rsidR="008240BE" w:rsidRDefault="00DE3D2E" w:rsidP="00286B33">
      <w:pPr>
        <w:jc w:val="both"/>
        <w:rPr>
          <w:rFonts w:ascii="Times New Roman" w:hAnsi="Times New Roman" w:cs="Times New Roman"/>
          <w:sz w:val="36"/>
          <w:szCs w:val="36"/>
        </w:rPr>
      </w:pPr>
      <w:r>
        <w:rPr>
          <w:rFonts w:ascii="Times New Roman" w:hAnsi="Times New Roman" w:cs="Times New Roman"/>
          <w:sz w:val="36"/>
          <w:szCs w:val="36"/>
        </w:rPr>
        <w:t>2.</w:t>
      </w:r>
      <w:r w:rsidR="00637604">
        <w:rPr>
          <w:rFonts w:ascii="Times New Roman" w:hAnsi="Times New Roman" w:cs="Times New Roman"/>
          <w:sz w:val="36"/>
          <w:szCs w:val="36"/>
        </w:rPr>
        <w:t xml:space="preserve">  The </w:t>
      </w:r>
      <w:r>
        <w:rPr>
          <w:rFonts w:ascii="Times New Roman" w:hAnsi="Times New Roman" w:cs="Times New Roman"/>
          <w:sz w:val="36"/>
          <w:szCs w:val="36"/>
        </w:rPr>
        <w:t xml:space="preserve">Petitioner who </w:t>
      </w:r>
      <w:r w:rsidR="00976816">
        <w:rPr>
          <w:rFonts w:ascii="Times New Roman" w:hAnsi="Times New Roman" w:cs="Times New Roman"/>
          <w:sz w:val="36"/>
          <w:szCs w:val="36"/>
        </w:rPr>
        <w:t xml:space="preserve">was a communist leader this time was </w:t>
      </w:r>
      <w:r w:rsidR="00637604">
        <w:rPr>
          <w:rFonts w:ascii="Times New Roman" w:hAnsi="Times New Roman" w:cs="Times New Roman"/>
          <w:sz w:val="36"/>
          <w:szCs w:val="36"/>
        </w:rPr>
        <w:t xml:space="preserve"> detained by the Madras Jail under the</w:t>
      </w:r>
      <w:r>
        <w:rPr>
          <w:rFonts w:ascii="Times New Roman" w:hAnsi="Times New Roman" w:cs="Times New Roman"/>
          <w:sz w:val="36"/>
          <w:szCs w:val="36"/>
        </w:rPr>
        <w:t xml:space="preserve"> Preventive Detention Act, 1950 inspite of the already pending cases against him.</w:t>
      </w:r>
    </w:p>
    <w:p w:rsidR="00637604" w:rsidRDefault="00976816" w:rsidP="00286B33">
      <w:pPr>
        <w:jc w:val="both"/>
        <w:rPr>
          <w:rFonts w:ascii="Times New Roman" w:hAnsi="Times New Roman" w:cs="Times New Roman"/>
          <w:sz w:val="36"/>
          <w:szCs w:val="36"/>
        </w:rPr>
      </w:pPr>
      <w:r w:rsidRPr="00976816">
        <w:rPr>
          <w:rFonts w:ascii="Times New Roman" w:hAnsi="Times New Roman" w:cs="Times New Roman"/>
          <w:sz w:val="36"/>
          <w:szCs w:val="36"/>
        </w:rPr>
        <w:t xml:space="preserve"> </w:t>
      </w:r>
      <w:r w:rsidR="008240BE">
        <w:rPr>
          <w:rFonts w:ascii="Times New Roman" w:hAnsi="Times New Roman" w:cs="Times New Roman"/>
          <w:sz w:val="36"/>
          <w:szCs w:val="36"/>
        </w:rPr>
        <w:t>3.W</w:t>
      </w:r>
      <w:r>
        <w:rPr>
          <w:rFonts w:ascii="Times New Roman" w:hAnsi="Times New Roman" w:cs="Times New Roman"/>
          <w:sz w:val="36"/>
          <w:szCs w:val="36"/>
        </w:rPr>
        <w:t>hen the order of detention was issued to him under the act</w:t>
      </w:r>
      <w:r w:rsidR="008240BE">
        <w:rPr>
          <w:rFonts w:ascii="Times New Roman" w:hAnsi="Times New Roman" w:cs="Times New Roman"/>
          <w:sz w:val="36"/>
          <w:szCs w:val="36"/>
        </w:rPr>
        <w:t xml:space="preserve"> h</w:t>
      </w:r>
      <w:r>
        <w:rPr>
          <w:rFonts w:ascii="Times New Roman" w:hAnsi="Times New Roman" w:cs="Times New Roman"/>
          <w:sz w:val="36"/>
          <w:szCs w:val="36"/>
        </w:rPr>
        <w:t>e was previously under detention of state government</w:t>
      </w:r>
      <w:r w:rsidR="008240BE">
        <w:rPr>
          <w:rFonts w:ascii="Times New Roman" w:hAnsi="Times New Roman" w:cs="Times New Roman"/>
          <w:sz w:val="36"/>
          <w:szCs w:val="36"/>
        </w:rPr>
        <w:t>.</w:t>
      </w:r>
    </w:p>
    <w:p w:rsidR="00976816" w:rsidRDefault="008240BE" w:rsidP="00286B33">
      <w:pPr>
        <w:jc w:val="both"/>
        <w:rPr>
          <w:rFonts w:ascii="Times New Roman" w:hAnsi="Times New Roman" w:cs="Times New Roman"/>
          <w:sz w:val="36"/>
          <w:szCs w:val="36"/>
        </w:rPr>
      </w:pPr>
      <w:r>
        <w:rPr>
          <w:rFonts w:ascii="Times New Roman" w:hAnsi="Times New Roman" w:cs="Times New Roman"/>
          <w:sz w:val="36"/>
          <w:szCs w:val="36"/>
        </w:rPr>
        <w:t>4</w:t>
      </w:r>
      <w:r w:rsidR="00637604">
        <w:rPr>
          <w:rFonts w:ascii="Times New Roman" w:hAnsi="Times New Roman" w:cs="Times New Roman"/>
          <w:sz w:val="36"/>
          <w:szCs w:val="36"/>
        </w:rPr>
        <w:t>. Petitioner challenged such detention on the grounds that his civil li</w:t>
      </w:r>
      <w:r w:rsidR="00976816">
        <w:rPr>
          <w:rFonts w:ascii="Times New Roman" w:hAnsi="Times New Roman" w:cs="Times New Roman"/>
          <w:sz w:val="36"/>
          <w:szCs w:val="36"/>
        </w:rPr>
        <w:t>berty was being curtailed.</w:t>
      </w:r>
      <w:r w:rsidR="001C0B9B">
        <w:rPr>
          <w:rFonts w:ascii="Times New Roman" w:hAnsi="Times New Roman" w:cs="Times New Roman"/>
          <w:sz w:val="36"/>
          <w:szCs w:val="36"/>
        </w:rPr>
        <w:t xml:space="preserve"> </w:t>
      </w:r>
    </w:p>
    <w:p w:rsidR="00423EBD" w:rsidRDefault="008240BE" w:rsidP="00286B33">
      <w:pPr>
        <w:jc w:val="both"/>
        <w:rPr>
          <w:rFonts w:ascii="Times New Roman" w:hAnsi="Times New Roman" w:cs="Times New Roman"/>
          <w:sz w:val="36"/>
          <w:szCs w:val="36"/>
        </w:rPr>
      </w:pPr>
      <w:r>
        <w:rPr>
          <w:rFonts w:ascii="Times New Roman" w:hAnsi="Times New Roman" w:cs="Times New Roman"/>
          <w:sz w:val="36"/>
          <w:szCs w:val="36"/>
        </w:rPr>
        <w:lastRenderedPageBreak/>
        <w:t>5</w:t>
      </w:r>
      <w:r w:rsidR="00976816">
        <w:rPr>
          <w:rFonts w:ascii="Times New Roman" w:hAnsi="Times New Roman" w:cs="Times New Roman"/>
          <w:sz w:val="36"/>
          <w:szCs w:val="36"/>
        </w:rPr>
        <w:t>. The Petitioner filed a case</w:t>
      </w:r>
      <w:r w:rsidR="00423EBD">
        <w:rPr>
          <w:rFonts w:ascii="Times New Roman" w:hAnsi="Times New Roman" w:cs="Times New Roman"/>
          <w:sz w:val="36"/>
          <w:szCs w:val="36"/>
        </w:rPr>
        <w:t xml:space="preserve"> under Art.32 of the constitution of India</w:t>
      </w:r>
      <w:r w:rsidR="00423EBD">
        <w:rPr>
          <w:rStyle w:val="FootnoteReference"/>
          <w:rFonts w:ascii="Times New Roman" w:hAnsi="Times New Roman" w:cs="Times New Roman"/>
          <w:sz w:val="36"/>
          <w:szCs w:val="36"/>
        </w:rPr>
        <w:footnoteReference w:id="2"/>
      </w:r>
      <w:r w:rsidR="00423EBD">
        <w:rPr>
          <w:rFonts w:ascii="Times New Roman" w:hAnsi="Times New Roman" w:cs="Times New Roman"/>
          <w:sz w:val="36"/>
          <w:szCs w:val="36"/>
        </w:rPr>
        <w:t xml:space="preserve"> for the writ of Habeas corpus</w:t>
      </w:r>
      <w:r w:rsidR="00423EBD">
        <w:rPr>
          <w:rStyle w:val="FootnoteReference"/>
          <w:rFonts w:ascii="Times New Roman" w:hAnsi="Times New Roman" w:cs="Times New Roman"/>
          <w:sz w:val="36"/>
          <w:szCs w:val="36"/>
        </w:rPr>
        <w:footnoteReference w:id="3"/>
      </w:r>
      <w:r w:rsidR="00423EBD">
        <w:rPr>
          <w:rFonts w:ascii="Times New Roman" w:hAnsi="Times New Roman" w:cs="Times New Roman"/>
          <w:sz w:val="36"/>
          <w:szCs w:val="36"/>
        </w:rPr>
        <w:t>, for the unlawful detention of the petitioner and for his release.</w:t>
      </w:r>
    </w:p>
    <w:p w:rsidR="0085551A" w:rsidRDefault="00423EBD" w:rsidP="00286B33">
      <w:pPr>
        <w:jc w:val="both"/>
        <w:rPr>
          <w:rFonts w:ascii="Times New Roman" w:hAnsi="Times New Roman" w:cs="Times New Roman"/>
          <w:sz w:val="36"/>
          <w:szCs w:val="36"/>
        </w:rPr>
      </w:pPr>
      <w:r>
        <w:rPr>
          <w:rFonts w:ascii="Times New Roman" w:hAnsi="Times New Roman" w:cs="Times New Roman"/>
          <w:sz w:val="36"/>
          <w:szCs w:val="36"/>
        </w:rPr>
        <w:t xml:space="preserve">4. </w:t>
      </w:r>
      <w:r w:rsidR="00976816">
        <w:rPr>
          <w:rFonts w:ascii="Times New Roman" w:hAnsi="Times New Roman" w:cs="Times New Roman"/>
          <w:sz w:val="36"/>
          <w:szCs w:val="36"/>
        </w:rPr>
        <w:t xml:space="preserve"> </w:t>
      </w:r>
      <w:r>
        <w:rPr>
          <w:rFonts w:ascii="Times New Roman" w:hAnsi="Times New Roman" w:cs="Times New Roman"/>
          <w:sz w:val="36"/>
          <w:szCs w:val="36"/>
        </w:rPr>
        <w:t>Also, the Petitioner challenged such detention on the grounds that the said detention violated his fundamental rights under Art. 13, 14, 19, 21, 22</w:t>
      </w:r>
      <w:r w:rsidR="00976816">
        <w:rPr>
          <w:rFonts w:ascii="Times New Roman" w:hAnsi="Times New Roman" w:cs="Times New Roman"/>
          <w:sz w:val="36"/>
          <w:szCs w:val="36"/>
        </w:rPr>
        <w:t>. Thus,</w:t>
      </w:r>
      <w:r>
        <w:rPr>
          <w:rFonts w:ascii="Times New Roman" w:hAnsi="Times New Roman" w:cs="Times New Roman"/>
          <w:sz w:val="36"/>
          <w:szCs w:val="36"/>
        </w:rPr>
        <w:t xml:space="preserve"> such detention was consequently ultravires of the constitution and must be set aside.</w:t>
      </w:r>
      <w:r w:rsidR="0085551A">
        <w:rPr>
          <w:rFonts w:ascii="Times New Roman" w:hAnsi="Times New Roman" w:cs="Times New Roman"/>
          <w:sz w:val="36"/>
          <w:szCs w:val="36"/>
        </w:rPr>
        <w:t xml:space="preserve"> </w:t>
      </w:r>
    </w:p>
    <w:p w:rsidR="0085551A" w:rsidRDefault="003D744C" w:rsidP="00286B33">
      <w:pPr>
        <w:jc w:val="both"/>
        <w:rPr>
          <w:rFonts w:ascii="Times New Roman" w:hAnsi="Times New Roman" w:cs="Times New Roman"/>
          <w:sz w:val="36"/>
          <w:szCs w:val="36"/>
        </w:rPr>
      </w:pPr>
      <w:r>
        <w:rPr>
          <w:rFonts w:ascii="Times New Roman" w:hAnsi="Times New Roman" w:cs="Times New Roman"/>
          <w:sz w:val="36"/>
          <w:szCs w:val="36"/>
        </w:rPr>
        <w:t>ISSUE</w:t>
      </w:r>
      <w:r w:rsidR="00702966">
        <w:rPr>
          <w:rFonts w:ascii="Times New Roman" w:hAnsi="Times New Roman" w:cs="Times New Roman"/>
          <w:sz w:val="36"/>
          <w:szCs w:val="36"/>
        </w:rPr>
        <w:t xml:space="preserve"> BEFORE THE COURT:</w:t>
      </w:r>
    </w:p>
    <w:p w:rsidR="00702966" w:rsidRDefault="00702966" w:rsidP="00286B33">
      <w:pPr>
        <w:jc w:val="both"/>
        <w:rPr>
          <w:rFonts w:ascii="Times New Roman" w:hAnsi="Times New Roman" w:cs="Times New Roman"/>
          <w:sz w:val="36"/>
          <w:szCs w:val="36"/>
        </w:rPr>
      </w:pPr>
      <w:r>
        <w:rPr>
          <w:rFonts w:ascii="Times New Roman" w:hAnsi="Times New Roman" w:cs="Times New Roman"/>
          <w:sz w:val="36"/>
          <w:szCs w:val="36"/>
        </w:rPr>
        <w:t>Whether the Preventive Detention Act, 1950</w:t>
      </w:r>
      <w:r w:rsidR="00976816">
        <w:rPr>
          <w:rFonts w:ascii="Times New Roman" w:hAnsi="Times New Roman" w:cs="Times New Roman"/>
          <w:sz w:val="36"/>
          <w:szCs w:val="36"/>
        </w:rPr>
        <w:t xml:space="preserve"> infringes </w:t>
      </w:r>
      <w:r w:rsidR="00286B33">
        <w:rPr>
          <w:rFonts w:ascii="Times New Roman" w:hAnsi="Times New Roman" w:cs="Times New Roman"/>
          <w:sz w:val="36"/>
          <w:szCs w:val="36"/>
        </w:rPr>
        <w:t>the fundamental</w:t>
      </w:r>
      <w:r>
        <w:rPr>
          <w:rFonts w:ascii="Times New Roman" w:hAnsi="Times New Roman" w:cs="Times New Roman"/>
          <w:sz w:val="36"/>
          <w:szCs w:val="36"/>
        </w:rPr>
        <w:t xml:space="preserve"> Rights Under the constitution?</w:t>
      </w:r>
    </w:p>
    <w:p w:rsidR="007C4BAE" w:rsidRDefault="007C4BAE" w:rsidP="00286B33">
      <w:pPr>
        <w:jc w:val="both"/>
        <w:rPr>
          <w:rFonts w:ascii="Times New Roman" w:hAnsi="Times New Roman" w:cs="Times New Roman"/>
          <w:sz w:val="36"/>
          <w:szCs w:val="36"/>
        </w:rPr>
      </w:pPr>
    </w:p>
    <w:p w:rsidR="00423EBD" w:rsidRDefault="007C4BAE" w:rsidP="00286B33">
      <w:pPr>
        <w:jc w:val="both"/>
        <w:rPr>
          <w:rFonts w:ascii="Times New Roman" w:hAnsi="Times New Roman" w:cs="Times New Roman"/>
          <w:sz w:val="36"/>
          <w:szCs w:val="36"/>
        </w:rPr>
      </w:pPr>
      <w:r>
        <w:rPr>
          <w:rFonts w:ascii="Times New Roman" w:hAnsi="Times New Roman" w:cs="Times New Roman"/>
          <w:sz w:val="36"/>
          <w:szCs w:val="36"/>
        </w:rPr>
        <w:t>CONTENTION OF BOTH THE PARTIES</w:t>
      </w:r>
    </w:p>
    <w:p w:rsidR="007C4BAE" w:rsidRDefault="007C4BAE" w:rsidP="00286B33">
      <w:pPr>
        <w:jc w:val="both"/>
        <w:rPr>
          <w:rFonts w:ascii="Times New Roman" w:hAnsi="Times New Roman" w:cs="Times New Roman"/>
          <w:sz w:val="36"/>
          <w:szCs w:val="36"/>
        </w:rPr>
      </w:pPr>
      <w:r>
        <w:rPr>
          <w:rFonts w:ascii="Times New Roman" w:hAnsi="Times New Roman" w:cs="Times New Roman"/>
          <w:sz w:val="36"/>
          <w:szCs w:val="36"/>
        </w:rPr>
        <w:t>1. The Petitioner contended that the said d</w:t>
      </w:r>
      <w:r w:rsidR="00EB5B95">
        <w:rPr>
          <w:rFonts w:ascii="Times New Roman" w:hAnsi="Times New Roman" w:cs="Times New Roman"/>
          <w:sz w:val="36"/>
          <w:szCs w:val="36"/>
        </w:rPr>
        <w:t>etention was in violation of his</w:t>
      </w:r>
      <w:r>
        <w:rPr>
          <w:rFonts w:ascii="Times New Roman" w:hAnsi="Times New Roman" w:cs="Times New Roman"/>
          <w:sz w:val="36"/>
          <w:szCs w:val="36"/>
        </w:rPr>
        <w:t xml:space="preserve">  fundamental </w:t>
      </w:r>
      <w:r w:rsidR="00EB5B95">
        <w:rPr>
          <w:rFonts w:ascii="Times New Roman" w:hAnsi="Times New Roman" w:cs="Times New Roman"/>
          <w:sz w:val="36"/>
          <w:szCs w:val="36"/>
        </w:rPr>
        <w:t>Rights guaranteed under Art.19, 21( Right to Freedom of Movement and Right to life and Personal Liberty) of the constitution of India and thus must be set</w:t>
      </w:r>
      <w:r w:rsidR="00286B33">
        <w:rPr>
          <w:rFonts w:ascii="Times New Roman" w:hAnsi="Times New Roman" w:cs="Times New Roman"/>
          <w:sz w:val="36"/>
          <w:szCs w:val="36"/>
        </w:rPr>
        <w:t xml:space="preserve"> aside. The Respondent contended that there was no violation of fundamental right and the said detention was valid and constitutional.</w:t>
      </w:r>
    </w:p>
    <w:p w:rsidR="00EB5B95" w:rsidRDefault="00EB5B95" w:rsidP="00286B33">
      <w:pPr>
        <w:jc w:val="both"/>
        <w:rPr>
          <w:rFonts w:ascii="Times New Roman" w:hAnsi="Times New Roman" w:cs="Times New Roman"/>
          <w:sz w:val="36"/>
          <w:szCs w:val="36"/>
        </w:rPr>
      </w:pPr>
    </w:p>
    <w:p w:rsidR="007C4BAE" w:rsidRDefault="007C4BAE" w:rsidP="00286B33">
      <w:pPr>
        <w:jc w:val="both"/>
        <w:rPr>
          <w:rFonts w:ascii="Times New Roman" w:hAnsi="Times New Roman" w:cs="Times New Roman"/>
          <w:sz w:val="36"/>
          <w:szCs w:val="36"/>
        </w:rPr>
      </w:pPr>
    </w:p>
    <w:p w:rsidR="00286B33" w:rsidRDefault="00286B33" w:rsidP="00286B33">
      <w:pPr>
        <w:jc w:val="both"/>
        <w:rPr>
          <w:rFonts w:ascii="Times New Roman" w:hAnsi="Times New Roman" w:cs="Times New Roman"/>
          <w:sz w:val="36"/>
          <w:szCs w:val="36"/>
        </w:rPr>
      </w:pPr>
    </w:p>
    <w:p w:rsidR="00702966" w:rsidRDefault="00702966" w:rsidP="00286B33">
      <w:pPr>
        <w:jc w:val="both"/>
        <w:rPr>
          <w:rFonts w:ascii="Times New Roman" w:hAnsi="Times New Roman" w:cs="Times New Roman"/>
          <w:sz w:val="36"/>
          <w:szCs w:val="36"/>
        </w:rPr>
      </w:pPr>
      <w:r>
        <w:rPr>
          <w:rFonts w:ascii="Times New Roman" w:hAnsi="Times New Roman" w:cs="Times New Roman"/>
          <w:sz w:val="36"/>
          <w:szCs w:val="36"/>
        </w:rPr>
        <w:lastRenderedPageBreak/>
        <w:t>RATIO OF THE COURT:</w:t>
      </w:r>
    </w:p>
    <w:p w:rsidR="00722942" w:rsidRDefault="00722942" w:rsidP="00286B33">
      <w:pPr>
        <w:jc w:val="both"/>
        <w:rPr>
          <w:rFonts w:ascii="Times New Roman" w:hAnsi="Times New Roman" w:cs="Times New Roman"/>
          <w:sz w:val="36"/>
          <w:szCs w:val="36"/>
        </w:rPr>
      </w:pPr>
      <w:r>
        <w:rPr>
          <w:rFonts w:ascii="Times New Roman" w:hAnsi="Times New Roman" w:cs="Times New Roman"/>
          <w:sz w:val="36"/>
          <w:szCs w:val="36"/>
        </w:rPr>
        <w:t xml:space="preserve">1.  INTERPRETATION OF CONSTITUTIONAL PROVISONS : Both Kania CJ and Mahajan CJ </w:t>
      </w:r>
      <w:r w:rsidR="0017215C">
        <w:rPr>
          <w:rFonts w:ascii="Times New Roman" w:hAnsi="Times New Roman" w:cs="Times New Roman"/>
          <w:sz w:val="36"/>
          <w:szCs w:val="36"/>
        </w:rPr>
        <w:t>were of the opinion that the courts were not at liberty to declare an act void because in their opinion it is opposed to a spirit supposed to pervade the constitution but not expressed in words</w:t>
      </w:r>
      <w:r w:rsidR="0017215C">
        <w:rPr>
          <w:rStyle w:val="FootnoteReference"/>
          <w:rFonts w:ascii="Times New Roman" w:hAnsi="Times New Roman" w:cs="Times New Roman"/>
          <w:sz w:val="36"/>
          <w:szCs w:val="36"/>
        </w:rPr>
        <w:footnoteReference w:id="4"/>
      </w:r>
      <w:r w:rsidR="0017215C">
        <w:rPr>
          <w:rFonts w:ascii="Times New Roman" w:hAnsi="Times New Roman" w:cs="Times New Roman"/>
          <w:sz w:val="36"/>
          <w:szCs w:val="36"/>
        </w:rPr>
        <w:t xml:space="preserve">. </w:t>
      </w:r>
    </w:p>
    <w:p w:rsidR="0017215C" w:rsidRDefault="00976816" w:rsidP="00286B33">
      <w:pPr>
        <w:jc w:val="both"/>
        <w:rPr>
          <w:rFonts w:ascii="Times New Roman" w:hAnsi="Times New Roman" w:cs="Times New Roman"/>
          <w:sz w:val="36"/>
          <w:szCs w:val="36"/>
        </w:rPr>
      </w:pPr>
      <w:r>
        <w:rPr>
          <w:rFonts w:ascii="Times New Roman" w:hAnsi="Times New Roman" w:cs="Times New Roman"/>
          <w:sz w:val="36"/>
          <w:szCs w:val="36"/>
        </w:rPr>
        <w:t>2. W</w:t>
      </w:r>
      <w:r w:rsidR="0017215C">
        <w:rPr>
          <w:rFonts w:ascii="Times New Roman" w:hAnsi="Times New Roman" w:cs="Times New Roman"/>
          <w:sz w:val="36"/>
          <w:szCs w:val="36"/>
        </w:rPr>
        <w:t>hether the act was in violation of article 19 :</w:t>
      </w:r>
    </w:p>
    <w:p w:rsidR="0017215C" w:rsidRDefault="008240BE" w:rsidP="00286B33">
      <w:pPr>
        <w:jc w:val="both"/>
        <w:rPr>
          <w:rFonts w:ascii="Times New Roman" w:hAnsi="Times New Roman" w:cs="Times New Roman"/>
          <w:sz w:val="36"/>
          <w:szCs w:val="36"/>
        </w:rPr>
      </w:pPr>
      <w:r>
        <w:rPr>
          <w:rFonts w:ascii="Times New Roman" w:hAnsi="Times New Roman" w:cs="Times New Roman"/>
          <w:sz w:val="36"/>
          <w:szCs w:val="36"/>
        </w:rPr>
        <w:t xml:space="preserve"> It was held by the full court (</w:t>
      </w:r>
      <w:r w:rsidR="0017215C">
        <w:rPr>
          <w:rFonts w:ascii="Times New Roman" w:hAnsi="Times New Roman" w:cs="Times New Roman"/>
          <w:sz w:val="36"/>
          <w:szCs w:val="36"/>
        </w:rPr>
        <w:t>Kania CJ ; B.K Mukherjee</w:t>
      </w:r>
      <w:r>
        <w:rPr>
          <w:rFonts w:ascii="Times New Roman" w:hAnsi="Times New Roman" w:cs="Times New Roman"/>
          <w:sz w:val="36"/>
          <w:szCs w:val="36"/>
        </w:rPr>
        <w:t>, Patanjali sastri</w:t>
      </w:r>
      <w:r w:rsidR="0017215C">
        <w:rPr>
          <w:rFonts w:ascii="Times New Roman" w:hAnsi="Times New Roman" w:cs="Times New Roman"/>
          <w:sz w:val="36"/>
          <w:szCs w:val="36"/>
        </w:rPr>
        <w:t xml:space="preserve"> and Das jj</w:t>
      </w:r>
      <w:r>
        <w:rPr>
          <w:rFonts w:ascii="Times New Roman" w:hAnsi="Times New Roman" w:cs="Times New Roman"/>
          <w:sz w:val="36"/>
          <w:szCs w:val="36"/>
        </w:rPr>
        <w:t xml:space="preserve">) </w:t>
      </w:r>
      <w:r w:rsidR="0017215C">
        <w:rPr>
          <w:rFonts w:ascii="Times New Roman" w:hAnsi="Times New Roman" w:cs="Times New Roman"/>
          <w:sz w:val="36"/>
          <w:szCs w:val="36"/>
        </w:rPr>
        <w:t>that Article 19 has no Application to a legislation dealing with preventive or punitive detention as its direct object</w:t>
      </w:r>
      <w:r w:rsidR="0017215C">
        <w:rPr>
          <w:rStyle w:val="FootnoteReference"/>
          <w:rFonts w:ascii="Times New Roman" w:hAnsi="Times New Roman" w:cs="Times New Roman"/>
          <w:sz w:val="36"/>
          <w:szCs w:val="36"/>
        </w:rPr>
        <w:footnoteReference w:id="5"/>
      </w:r>
      <w:r w:rsidR="0017215C">
        <w:rPr>
          <w:rFonts w:ascii="Times New Roman" w:hAnsi="Times New Roman" w:cs="Times New Roman"/>
          <w:sz w:val="36"/>
          <w:szCs w:val="36"/>
        </w:rPr>
        <w:t xml:space="preserve">. </w:t>
      </w:r>
      <w:r>
        <w:rPr>
          <w:rFonts w:ascii="Times New Roman" w:hAnsi="Times New Roman" w:cs="Times New Roman"/>
          <w:sz w:val="36"/>
          <w:szCs w:val="36"/>
        </w:rPr>
        <w:t xml:space="preserve"> Thus sec 14 of the Act was though in violation of Article 19(5) of the constitution but the said section was separable from the rest of the act and the detention cannot be set aside merely on the ground of one section , the whole act was valid and Detention of the Petitioner was not illegal</w:t>
      </w:r>
      <w:r>
        <w:rPr>
          <w:rStyle w:val="FootnoteReference"/>
          <w:rFonts w:ascii="Times New Roman" w:hAnsi="Times New Roman" w:cs="Times New Roman"/>
          <w:sz w:val="36"/>
          <w:szCs w:val="36"/>
        </w:rPr>
        <w:footnoteReference w:id="6"/>
      </w:r>
      <w:r>
        <w:rPr>
          <w:rFonts w:ascii="Times New Roman" w:hAnsi="Times New Roman" w:cs="Times New Roman"/>
          <w:sz w:val="36"/>
          <w:szCs w:val="36"/>
        </w:rPr>
        <w:t>.</w:t>
      </w:r>
    </w:p>
    <w:p w:rsidR="0017215C" w:rsidRDefault="0017215C" w:rsidP="00286B33">
      <w:pPr>
        <w:jc w:val="both"/>
        <w:rPr>
          <w:rFonts w:ascii="Times New Roman" w:hAnsi="Times New Roman" w:cs="Times New Roman"/>
          <w:sz w:val="36"/>
          <w:szCs w:val="36"/>
        </w:rPr>
      </w:pPr>
      <w:r>
        <w:rPr>
          <w:rFonts w:ascii="Times New Roman" w:hAnsi="Times New Roman" w:cs="Times New Roman"/>
          <w:sz w:val="36"/>
          <w:szCs w:val="36"/>
        </w:rPr>
        <w:t>Das J. Has observe</w:t>
      </w:r>
      <w:r w:rsidR="008E75DC">
        <w:rPr>
          <w:rFonts w:ascii="Times New Roman" w:hAnsi="Times New Roman" w:cs="Times New Roman"/>
          <w:sz w:val="36"/>
          <w:szCs w:val="36"/>
        </w:rPr>
        <w:t>d that Article has by providing</w:t>
      </w:r>
      <w:r>
        <w:rPr>
          <w:rFonts w:ascii="Times New Roman" w:hAnsi="Times New Roman" w:cs="Times New Roman"/>
          <w:sz w:val="36"/>
          <w:szCs w:val="36"/>
        </w:rPr>
        <w:t xml:space="preserve"> </w:t>
      </w:r>
      <w:r w:rsidR="008E75DC">
        <w:rPr>
          <w:rFonts w:ascii="Times New Roman" w:hAnsi="Times New Roman" w:cs="Times New Roman"/>
          <w:sz w:val="36"/>
          <w:szCs w:val="36"/>
        </w:rPr>
        <w:t>detention,</w:t>
      </w:r>
      <w:r>
        <w:rPr>
          <w:rFonts w:ascii="Times New Roman" w:hAnsi="Times New Roman" w:cs="Times New Roman"/>
          <w:sz w:val="36"/>
          <w:szCs w:val="36"/>
        </w:rPr>
        <w:t xml:space="preserve"> recognise</w:t>
      </w:r>
      <w:r w:rsidR="00976816">
        <w:rPr>
          <w:rFonts w:ascii="Times New Roman" w:hAnsi="Times New Roman" w:cs="Times New Roman"/>
          <w:sz w:val="36"/>
          <w:szCs w:val="36"/>
        </w:rPr>
        <w:t>d that individual liberty may be</w:t>
      </w:r>
      <w:r>
        <w:rPr>
          <w:rFonts w:ascii="Times New Roman" w:hAnsi="Times New Roman" w:cs="Times New Roman"/>
          <w:sz w:val="36"/>
          <w:szCs w:val="36"/>
        </w:rPr>
        <w:t xml:space="preserve"> subordinated to larger social interest.</w:t>
      </w:r>
    </w:p>
    <w:p w:rsidR="0017215C" w:rsidRDefault="0017215C" w:rsidP="00286B33">
      <w:pPr>
        <w:jc w:val="both"/>
        <w:rPr>
          <w:rFonts w:ascii="Times New Roman" w:hAnsi="Times New Roman" w:cs="Times New Roman"/>
          <w:sz w:val="36"/>
          <w:szCs w:val="36"/>
        </w:rPr>
      </w:pPr>
      <w:r>
        <w:rPr>
          <w:rFonts w:ascii="Times New Roman" w:hAnsi="Times New Roman" w:cs="Times New Roman"/>
          <w:sz w:val="36"/>
          <w:szCs w:val="36"/>
        </w:rPr>
        <w:t>3.</w:t>
      </w:r>
      <w:r w:rsidR="00862C0B">
        <w:rPr>
          <w:rFonts w:ascii="Times New Roman" w:hAnsi="Times New Roman" w:cs="Times New Roman"/>
          <w:sz w:val="36"/>
          <w:szCs w:val="36"/>
        </w:rPr>
        <w:t xml:space="preserve"> The jud</w:t>
      </w:r>
      <w:r w:rsidR="00544F82">
        <w:rPr>
          <w:rFonts w:ascii="Times New Roman" w:hAnsi="Times New Roman" w:cs="Times New Roman"/>
          <w:sz w:val="36"/>
          <w:szCs w:val="36"/>
        </w:rPr>
        <w:t>ges were of the opinion that Art</w:t>
      </w:r>
      <w:r w:rsidR="00862C0B">
        <w:rPr>
          <w:rFonts w:ascii="Times New Roman" w:hAnsi="Times New Roman" w:cs="Times New Roman"/>
          <w:sz w:val="36"/>
          <w:szCs w:val="36"/>
        </w:rPr>
        <w:t>.21 that guarantees Right to personal liberty were not protected by Article 19</w:t>
      </w:r>
      <w:r w:rsidR="00862C0B">
        <w:rPr>
          <w:rStyle w:val="FootnoteReference"/>
          <w:rFonts w:ascii="Times New Roman" w:hAnsi="Times New Roman" w:cs="Times New Roman"/>
          <w:sz w:val="36"/>
          <w:szCs w:val="36"/>
        </w:rPr>
        <w:footnoteReference w:id="7"/>
      </w:r>
      <w:r w:rsidR="00862C0B">
        <w:rPr>
          <w:rFonts w:ascii="Times New Roman" w:hAnsi="Times New Roman" w:cs="Times New Roman"/>
          <w:sz w:val="36"/>
          <w:szCs w:val="36"/>
        </w:rPr>
        <w:t>. Majority of the judges were of the opinion th</w:t>
      </w:r>
      <w:r w:rsidR="008E75DC">
        <w:rPr>
          <w:rFonts w:ascii="Times New Roman" w:hAnsi="Times New Roman" w:cs="Times New Roman"/>
          <w:sz w:val="36"/>
          <w:szCs w:val="36"/>
        </w:rPr>
        <w:t>at Right to Move Freely through</w:t>
      </w:r>
      <w:r w:rsidR="00862C0B">
        <w:rPr>
          <w:rFonts w:ascii="Times New Roman" w:hAnsi="Times New Roman" w:cs="Times New Roman"/>
          <w:sz w:val="36"/>
          <w:szCs w:val="36"/>
        </w:rPr>
        <w:t xml:space="preserve">out the territory of India </w:t>
      </w:r>
      <w:r w:rsidR="00544F82">
        <w:rPr>
          <w:rFonts w:ascii="Times New Roman" w:hAnsi="Times New Roman" w:cs="Times New Roman"/>
          <w:sz w:val="36"/>
          <w:szCs w:val="36"/>
        </w:rPr>
        <w:t xml:space="preserve">referred to under </w:t>
      </w:r>
      <w:r w:rsidR="008E75DC">
        <w:rPr>
          <w:rFonts w:ascii="Times New Roman" w:hAnsi="Times New Roman" w:cs="Times New Roman"/>
          <w:sz w:val="36"/>
          <w:szCs w:val="36"/>
        </w:rPr>
        <w:lastRenderedPageBreak/>
        <w:t>Art.19 (</w:t>
      </w:r>
      <w:r w:rsidR="00544F82">
        <w:rPr>
          <w:rFonts w:ascii="Times New Roman" w:hAnsi="Times New Roman" w:cs="Times New Roman"/>
          <w:sz w:val="36"/>
          <w:szCs w:val="36"/>
        </w:rPr>
        <w:t xml:space="preserve">1)(d) was  entirely different from the Right to Personal liberty and therefore should be read separately. </w:t>
      </w:r>
    </w:p>
    <w:p w:rsidR="00702966" w:rsidRDefault="0000151F" w:rsidP="00286B33">
      <w:pPr>
        <w:jc w:val="both"/>
        <w:rPr>
          <w:rFonts w:ascii="Times New Roman" w:hAnsi="Times New Roman" w:cs="Times New Roman"/>
          <w:sz w:val="36"/>
          <w:szCs w:val="36"/>
        </w:rPr>
      </w:pPr>
      <w:r>
        <w:rPr>
          <w:rFonts w:ascii="Times New Roman" w:hAnsi="Times New Roman" w:cs="Times New Roman"/>
          <w:sz w:val="36"/>
          <w:szCs w:val="36"/>
        </w:rPr>
        <w:t>4. Judges in Majority opinion were of the view that the word “Law” has been used in the sense of State made Law and not as equivalent of law in the abstract or general sense embodying the principles if Natural justice.</w:t>
      </w:r>
    </w:p>
    <w:p w:rsidR="0000151F" w:rsidRDefault="007C4BAE" w:rsidP="00286B33">
      <w:pPr>
        <w:jc w:val="both"/>
        <w:rPr>
          <w:rFonts w:ascii="Times New Roman" w:hAnsi="Times New Roman" w:cs="Times New Roman"/>
          <w:sz w:val="36"/>
          <w:szCs w:val="36"/>
        </w:rPr>
      </w:pPr>
      <w:r>
        <w:rPr>
          <w:rFonts w:ascii="Times New Roman" w:hAnsi="Times New Roman" w:cs="Times New Roman"/>
          <w:sz w:val="36"/>
          <w:szCs w:val="36"/>
        </w:rPr>
        <w:t>Thus “procedure established by law” means procedure established by law made by the state , that is to say , union Parliament or state legislature and thus it must not be construed as “Due process of law” in the American Constitution by the supreme court of America</w:t>
      </w:r>
      <w:r>
        <w:rPr>
          <w:rStyle w:val="FootnoteReference"/>
          <w:rFonts w:ascii="Times New Roman" w:hAnsi="Times New Roman" w:cs="Times New Roman"/>
          <w:sz w:val="36"/>
          <w:szCs w:val="36"/>
        </w:rPr>
        <w:footnoteReference w:id="8"/>
      </w:r>
      <w:r>
        <w:rPr>
          <w:rFonts w:ascii="Times New Roman" w:hAnsi="Times New Roman" w:cs="Times New Roman"/>
          <w:sz w:val="36"/>
          <w:szCs w:val="36"/>
        </w:rPr>
        <w:t>.</w:t>
      </w:r>
    </w:p>
    <w:p w:rsidR="00702966" w:rsidRDefault="00702966" w:rsidP="00286B33">
      <w:pPr>
        <w:jc w:val="both"/>
        <w:rPr>
          <w:rFonts w:ascii="Times New Roman" w:hAnsi="Times New Roman" w:cs="Times New Roman"/>
          <w:sz w:val="36"/>
          <w:szCs w:val="36"/>
        </w:rPr>
      </w:pPr>
    </w:p>
    <w:p w:rsidR="00702966" w:rsidRDefault="00702966" w:rsidP="00286B33">
      <w:pPr>
        <w:jc w:val="both"/>
        <w:rPr>
          <w:rFonts w:ascii="Times New Roman" w:hAnsi="Times New Roman" w:cs="Times New Roman"/>
          <w:sz w:val="36"/>
          <w:szCs w:val="36"/>
        </w:rPr>
      </w:pPr>
      <w:r>
        <w:rPr>
          <w:rFonts w:ascii="Times New Roman" w:hAnsi="Times New Roman" w:cs="Times New Roman"/>
          <w:sz w:val="36"/>
          <w:szCs w:val="36"/>
        </w:rPr>
        <w:t>DECISIONS HELD:</w:t>
      </w:r>
    </w:p>
    <w:p w:rsidR="00722942" w:rsidRDefault="008E75DC" w:rsidP="00286B33">
      <w:pPr>
        <w:jc w:val="both"/>
        <w:rPr>
          <w:rFonts w:ascii="Times New Roman" w:hAnsi="Times New Roman" w:cs="Times New Roman"/>
          <w:sz w:val="36"/>
          <w:szCs w:val="36"/>
        </w:rPr>
      </w:pPr>
      <w:r>
        <w:rPr>
          <w:rFonts w:ascii="Times New Roman" w:hAnsi="Times New Roman" w:cs="Times New Roman"/>
          <w:sz w:val="36"/>
          <w:szCs w:val="36"/>
        </w:rPr>
        <w:t>1. The Supreme Court</w:t>
      </w:r>
      <w:r w:rsidR="00722942">
        <w:rPr>
          <w:rFonts w:ascii="Times New Roman" w:hAnsi="Times New Roman" w:cs="Times New Roman"/>
          <w:sz w:val="36"/>
          <w:szCs w:val="36"/>
        </w:rPr>
        <w:t xml:space="preserve"> held that Preventive Detention Act is intravires of the constitution of India excluding sec 14 of the Act which was illegal and unconstitutional</w:t>
      </w:r>
      <w:r w:rsidR="007C4BAE">
        <w:rPr>
          <w:rFonts w:ascii="Times New Roman" w:hAnsi="Times New Roman" w:cs="Times New Roman"/>
          <w:sz w:val="36"/>
          <w:szCs w:val="36"/>
        </w:rPr>
        <w:t>.</w:t>
      </w:r>
    </w:p>
    <w:p w:rsidR="001C0B9B" w:rsidRDefault="001C0B9B" w:rsidP="00286B33">
      <w:pPr>
        <w:jc w:val="both"/>
        <w:rPr>
          <w:rFonts w:ascii="Times New Roman" w:hAnsi="Times New Roman" w:cs="Times New Roman"/>
          <w:sz w:val="36"/>
          <w:szCs w:val="36"/>
        </w:rPr>
      </w:pPr>
      <w:r>
        <w:rPr>
          <w:rFonts w:ascii="Times New Roman" w:hAnsi="Times New Roman" w:cs="Times New Roman"/>
          <w:sz w:val="36"/>
          <w:szCs w:val="36"/>
        </w:rPr>
        <w:t>Also section 12 of the act is ultravires of the constitution of India</w:t>
      </w:r>
      <w:r>
        <w:rPr>
          <w:rStyle w:val="FootnoteReference"/>
          <w:rFonts w:ascii="Times New Roman" w:hAnsi="Times New Roman" w:cs="Times New Roman"/>
          <w:sz w:val="36"/>
          <w:szCs w:val="36"/>
        </w:rPr>
        <w:footnoteReference w:id="9"/>
      </w:r>
      <w:r>
        <w:rPr>
          <w:rFonts w:ascii="Times New Roman" w:hAnsi="Times New Roman" w:cs="Times New Roman"/>
          <w:sz w:val="36"/>
          <w:szCs w:val="36"/>
        </w:rPr>
        <w:t xml:space="preserve"> and thus unconstitutional</w:t>
      </w:r>
      <w:r w:rsidR="007C4BAE">
        <w:rPr>
          <w:rFonts w:ascii="Times New Roman" w:hAnsi="Times New Roman" w:cs="Times New Roman"/>
          <w:sz w:val="36"/>
          <w:szCs w:val="36"/>
        </w:rPr>
        <w:t xml:space="preserve"> not affecting the rest of the act.</w:t>
      </w:r>
    </w:p>
    <w:p w:rsidR="001C0B9B" w:rsidRDefault="00722942" w:rsidP="00286B33">
      <w:pPr>
        <w:jc w:val="both"/>
        <w:rPr>
          <w:rFonts w:ascii="Times New Roman" w:hAnsi="Times New Roman" w:cs="Times New Roman"/>
          <w:sz w:val="36"/>
          <w:szCs w:val="36"/>
        </w:rPr>
      </w:pPr>
      <w:r>
        <w:rPr>
          <w:rFonts w:ascii="Times New Roman" w:hAnsi="Times New Roman" w:cs="Times New Roman"/>
          <w:sz w:val="36"/>
          <w:szCs w:val="36"/>
        </w:rPr>
        <w:t>Note:  The Preventive Detention Act, 1950 ceased to have effect on 31</w:t>
      </w:r>
      <w:r w:rsidRPr="00722942">
        <w:rPr>
          <w:rFonts w:ascii="Times New Roman" w:hAnsi="Times New Roman" w:cs="Times New Roman"/>
          <w:sz w:val="36"/>
          <w:szCs w:val="36"/>
          <w:vertAlign w:val="superscript"/>
        </w:rPr>
        <w:t>st</w:t>
      </w:r>
      <w:r w:rsidR="008E75DC">
        <w:rPr>
          <w:rFonts w:ascii="Times New Roman" w:hAnsi="Times New Roman" w:cs="Times New Roman"/>
          <w:sz w:val="36"/>
          <w:szCs w:val="36"/>
        </w:rPr>
        <w:t xml:space="preserve"> December</w:t>
      </w:r>
      <w:r>
        <w:rPr>
          <w:rFonts w:ascii="Times New Roman" w:hAnsi="Times New Roman" w:cs="Times New Roman"/>
          <w:sz w:val="36"/>
          <w:szCs w:val="36"/>
        </w:rPr>
        <w:t>, 1969.</w:t>
      </w:r>
    </w:p>
    <w:p w:rsidR="00423EBD" w:rsidRPr="00637604" w:rsidRDefault="007C4BAE" w:rsidP="00286B33">
      <w:pPr>
        <w:jc w:val="both"/>
        <w:rPr>
          <w:rFonts w:ascii="Times New Roman" w:hAnsi="Times New Roman" w:cs="Times New Roman"/>
          <w:sz w:val="36"/>
          <w:szCs w:val="36"/>
        </w:rPr>
      </w:pPr>
      <w:r>
        <w:rPr>
          <w:rFonts w:ascii="Times New Roman" w:hAnsi="Times New Roman" w:cs="Times New Roman"/>
          <w:sz w:val="36"/>
          <w:szCs w:val="36"/>
        </w:rPr>
        <w:t>2.</w:t>
      </w:r>
      <w:r w:rsidR="008E75DC">
        <w:rPr>
          <w:rFonts w:ascii="Times New Roman" w:hAnsi="Times New Roman" w:cs="Times New Roman"/>
          <w:sz w:val="36"/>
          <w:szCs w:val="36"/>
        </w:rPr>
        <w:t xml:space="preserve"> </w:t>
      </w:r>
      <w:r w:rsidR="008A498B">
        <w:rPr>
          <w:rFonts w:ascii="Times New Roman" w:hAnsi="Times New Roman" w:cs="Times New Roman"/>
          <w:sz w:val="36"/>
          <w:szCs w:val="36"/>
        </w:rPr>
        <w:t xml:space="preserve">Supreme court ruled that he was detained according to procedure established by law and rejected his arguments and </w:t>
      </w:r>
      <w:r w:rsidR="008A498B">
        <w:rPr>
          <w:rFonts w:ascii="Times New Roman" w:hAnsi="Times New Roman" w:cs="Times New Roman"/>
          <w:sz w:val="36"/>
          <w:szCs w:val="36"/>
        </w:rPr>
        <w:lastRenderedPageBreak/>
        <w:t>believed that each article was separate in constitution</w:t>
      </w:r>
      <w:r w:rsidR="008A498B">
        <w:rPr>
          <w:rStyle w:val="FootnoteReference"/>
          <w:rFonts w:ascii="Times New Roman" w:hAnsi="Times New Roman" w:cs="Times New Roman"/>
          <w:sz w:val="36"/>
          <w:szCs w:val="36"/>
        </w:rPr>
        <w:footnoteReference w:id="10"/>
      </w:r>
      <w:r w:rsidR="008A498B">
        <w:rPr>
          <w:rFonts w:ascii="Times New Roman" w:hAnsi="Times New Roman" w:cs="Times New Roman"/>
          <w:sz w:val="36"/>
          <w:szCs w:val="36"/>
        </w:rPr>
        <w:t>.</w:t>
      </w:r>
      <w:r w:rsidR="00A27C6F">
        <w:rPr>
          <w:rFonts w:ascii="Times New Roman" w:hAnsi="Times New Roman" w:cs="Times New Roman"/>
          <w:sz w:val="36"/>
          <w:szCs w:val="36"/>
        </w:rPr>
        <w:t xml:space="preserve"> Thus Art 19, 21 and 22 are mutually exclusive and are not interlinked as expressed by the court here.</w:t>
      </w:r>
    </w:p>
    <w:p w:rsidR="00A27C6F" w:rsidRDefault="00A27C6F" w:rsidP="00286B33">
      <w:pPr>
        <w:jc w:val="both"/>
        <w:rPr>
          <w:rFonts w:ascii="Times New Roman" w:hAnsi="Times New Roman" w:cs="Times New Roman"/>
          <w:sz w:val="36"/>
          <w:szCs w:val="36"/>
        </w:rPr>
      </w:pPr>
      <w:r>
        <w:rPr>
          <w:rFonts w:ascii="Times New Roman" w:hAnsi="Times New Roman" w:cs="Times New Roman"/>
          <w:sz w:val="36"/>
          <w:szCs w:val="36"/>
        </w:rPr>
        <w:t>3. A “Law”</w:t>
      </w:r>
      <w:r w:rsidR="008E75DC">
        <w:rPr>
          <w:rFonts w:ascii="Times New Roman" w:hAnsi="Times New Roman" w:cs="Times New Roman"/>
          <w:sz w:val="36"/>
          <w:szCs w:val="36"/>
        </w:rPr>
        <w:t xml:space="preserve"> </w:t>
      </w:r>
      <w:r>
        <w:rPr>
          <w:rFonts w:ascii="Times New Roman" w:hAnsi="Times New Roman" w:cs="Times New Roman"/>
          <w:sz w:val="36"/>
          <w:szCs w:val="36"/>
        </w:rPr>
        <w:t>affecting life and liberty could not be declared unconstitutional merely because it lacked Natural Justice or due procedure</w:t>
      </w:r>
      <w:r>
        <w:rPr>
          <w:rStyle w:val="FootnoteReference"/>
          <w:rFonts w:ascii="Times New Roman" w:hAnsi="Times New Roman" w:cs="Times New Roman"/>
          <w:sz w:val="36"/>
          <w:szCs w:val="36"/>
        </w:rPr>
        <w:footnoteReference w:id="11"/>
      </w:r>
      <w:r>
        <w:rPr>
          <w:rFonts w:ascii="Times New Roman" w:hAnsi="Times New Roman" w:cs="Times New Roman"/>
          <w:sz w:val="36"/>
          <w:szCs w:val="36"/>
        </w:rPr>
        <w:t xml:space="preserve"> </w:t>
      </w:r>
    </w:p>
    <w:p w:rsidR="00A27C6F" w:rsidRDefault="00A27C6F" w:rsidP="00286B33">
      <w:pPr>
        <w:jc w:val="both"/>
        <w:rPr>
          <w:rFonts w:ascii="Times New Roman" w:hAnsi="Times New Roman" w:cs="Times New Roman"/>
          <w:sz w:val="36"/>
          <w:szCs w:val="36"/>
        </w:rPr>
      </w:pPr>
    </w:p>
    <w:p w:rsidR="006F7B3A" w:rsidRDefault="00A27C6F" w:rsidP="00286B33">
      <w:pPr>
        <w:jc w:val="both"/>
        <w:rPr>
          <w:rFonts w:ascii="Times New Roman" w:hAnsi="Times New Roman" w:cs="Times New Roman"/>
          <w:sz w:val="36"/>
          <w:szCs w:val="36"/>
        </w:rPr>
      </w:pPr>
      <w:r>
        <w:rPr>
          <w:rFonts w:ascii="Times New Roman" w:hAnsi="Times New Roman" w:cs="Times New Roman"/>
          <w:sz w:val="36"/>
          <w:szCs w:val="36"/>
        </w:rPr>
        <w:t>4.</w:t>
      </w:r>
      <w:r w:rsidR="007C4BAE">
        <w:rPr>
          <w:rFonts w:ascii="Times New Roman" w:hAnsi="Times New Roman" w:cs="Times New Roman"/>
          <w:sz w:val="36"/>
          <w:szCs w:val="36"/>
        </w:rPr>
        <w:t xml:space="preserve"> Thus his Detention was valid and Constitutional not violating any of the fundamental Rights guaranteed by the Constitution of India.</w:t>
      </w:r>
    </w:p>
    <w:p w:rsidR="00286B33" w:rsidRDefault="00286B33" w:rsidP="00286B33">
      <w:pPr>
        <w:jc w:val="both"/>
        <w:rPr>
          <w:rFonts w:ascii="Times New Roman" w:hAnsi="Times New Roman" w:cs="Times New Roman"/>
          <w:sz w:val="36"/>
          <w:szCs w:val="36"/>
        </w:rPr>
      </w:pPr>
      <w:r>
        <w:rPr>
          <w:rFonts w:ascii="Times New Roman" w:hAnsi="Times New Roman" w:cs="Times New Roman"/>
          <w:sz w:val="36"/>
          <w:szCs w:val="36"/>
        </w:rPr>
        <w:t>MY CONCLUSION:</w:t>
      </w:r>
    </w:p>
    <w:p w:rsidR="00286B33" w:rsidRDefault="00286B33" w:rsidP="00286B33">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 xml:space="preserve">The View expressed by the court was very narrow and conservative interpretation of Art.21 as personal liberty was considered just as a opposite of </w:t>
      </w:r>
      <w:r w:rsidR="000F3238">
        <w:rPr>
          <w:rFonts w:ascii="Times New Roman" w:hAnsi="Times New Roman" w:cs="Times New Roman"/>
          <w:sz w:val="36"/>
          <w:szCs w:val="36"/>
        </w:rPr>
        <w:t>physical  restraint and coercion</w:t>
      </w:r>
      <w:r w:rsidR="00C26EC9">
        <w:rPr>
          <w:rFonts w:ascii="Times New Roman" w:hAnsi="Times New Roman" w:cs="Times New Roman"/>
          <w:sz w:val="36"/>
          <w:szCs w:val="36"/>
        </w:rPr>
        <w:t xml:space="preserve"> and not the freedom to move freely .</w:t>
      </w:r>
      <w:r w:rsidR="000F3238">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FE0BA2" w:rsidRDefault="00FE0BA2" w:rsidP="00FE0BA2">
      <w:pPr>
        <w:pStyle w:val="ListParagraph"/>
        <w:jc w:val="both"/>
        <w:rPr>
          <w:rFonts w:ascii="Times New Roman" w:hAnsi="Times New Roman" w:cs="Times New Roman"/>
          <w:sz w:val="36"/>
          <w:szCs w:val="36"/>
        </w:rPr>
      </w:pPr>
    </w:p>
    <w:p w:rsidR="00286B33" w:rsidRDefault="00FE0BA2" w:rsidP="00286B33">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Art. 13</w:t>
      </w:r>
      <w:r w:rsidR="000B6BA4">
        <w:rPr>
          <w:rFonts w:ascii="Times New Roman" w:hAnsi="Times New Roman" w:cs="Times New Roman"/>
          <w:sz w:val="36"/>
          <w:szCs w:val="36"/>
        </w:rPr>
        <w:t>,19,</w:t>
      </w:r>
      <w:r w:rsidR="00C26EC9">
        <w:rPr>
          <w:rFonts w:ascii="Times New Roman" w:hAnsi="Times New Roman" w:cs="Times New Roman"/>
          <w:sz w:val="36"/>
          <w:szCs w:val="36"/>
        </w:rPr>
        <w:t xml:space="preserve"> </w:t>
      </w:r>
      <w:r w:rsidR="000B6BA4">
        <w:rPr>
          <w:rFonts w:ascii="Times New Roman" w:hAnsi="Times New Roman" w:cs="Times New Roman"/>
          <w:sz w:val="36"/>
          <w:szCs w:val="36"/>
        </w:rPr>
        <w:t>21</w:t>
      </w:r>
      <w:r>
        <w:rPr>
          <w:rFonts w:ascii="Times New Roman" w:hAnsi="Times New Roman" w:cs="Times New Roman"/>
          <w:sz w:val="36"/>
          <w:szCs w:val="36"/>
        </w:rPr>
        <w:t xml:space="preserve"> are not mutually exclusive but on the contrary interdependent and must be read in consonance .</w:t>
      </w:r>
    </w:p>
    <w:p w:rsidR="00FE0BA2" w:rsidRPr="00FE0BA2" w:rsidRDefault="00FE0BA2" w:rsidP="00FE0BA2">
      <w:pPr>
        <w:pStyle w:val="ListParagraph"/>
        <w:rPr>
          <w:rFonts w:ascii="Times New Roman" w:hAnsi="Times New Roman" w:cs="Times New Roman"/>
          <w:sz w:val="36"/>
          <w:szCs w:val="36"/>
        </w:rPr>
      </w:pPr>
    </w:p>
    <w:p w:rsidR="00FE0BA2" w:rsidRPr="00C26EC9" w:rsidRDefault="00FE0BA2" w:rsidP="00C26EC9">
      <w:pPr>
        <w:jc w:val="both"/>
        <w:rPr>
          <w:rFonts w:ascii="Times New Roman" w:hAnsi="Times New Roman" w:cs="Times New Roman"/>
          <w:sz w:val="36"/>
          <w:szCs w:val="36"/>
        </w:rPr>
      </w:pPr>
    </w:p>
    <w:sectPr w:rsidR="00FE0BA2" w:rsidRPr="00C26EC9" w:rsidSect="00357F9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85D" w:rsidRDefault="0099585D" w:rsidP="00423EBD">
      <w:pPr>
        <w:spacing w:after="0" w:line="240" w:lineRule="auto"/>
      </w:pPr>
      <w:r>
        <w:separator/>
      </w:r>
    </w:p>
  </w:endnote>
  <w:endnote w:type="continuationSeparator" w:id="1">
    <w:p w:rsidR="0099585D" w:rsidRDefault="0099585D" w:rsidP="00423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85D" w:rsidRDefault="0099585D" w:rsidP="00423EBD">
      <w:pPr>
        <w:spacing w:after="0" w:line="240" w:lineRule="auto"/>
      </w:pPr>
      <w:r>
        <w:separator/>
      </w:r>
    </w:p>
  </w:footnote>
  <w:footnote w:type="continuationSeparator" w:id="1">
    <w:p w:rsidR="0099585D" w:rsidRDefault="0099585D" w:rsidP="00423EBD">
      <w:pPr>
        <w:spacing w:after="0" w:line="240" w:lineRule="auto"/>
      </w:pPr>
      <w:r>
        <w:continuationSeparator/>
      </w:r>
    </w:p>
  </w:footnote>
  <w:footnote w:id="2">
    <w:p w:rsidR="00423EBD" w:rsidRDefault="00423EBD">
      <w:pPr>
        <w:pStyle w:val="FootnoteText"/>
      </w:pPr>
      <w:r>
        <w:rPr>
          <w:rStyle w:val="FootnoteReference"/>
        </w:rPr>
        <w:footnoteRef/>
      </w:r>
      <w:r>
        <w:t xml:space="preserve"> </w:t>
      </w:r>
      <w:r w:rsidR="00127C90">
        <w:t>INDIA CONST. art. 32.</w:t>
      </w:r>
    </w:p>
  </w:footnote>
  <w:footnote w:id="3">
    <w:p w:rsidR="00423EBD" w:rsidRDefault="00423EBD">
      <w:pPr>
        <w:pStyle w:val="FootnoteText"/>
      </w:pPr>
      <w:r>
        <w:rPr>
          <w:rStyle w:val="FootnoteReference"/>
        </w:rPr>
        <w:footnoteRef/>
      </w:r>
      <w:r>
        <w:t xml:space="preserve"> </w:t>
      </w:r>
      <w:r w:rsidR="00127C90">
        <w:t>INDIA CONST. art.32.</w:t>
      </w:r>
    </w:p>
  </w:footnote>
  <w:footnote w:id="4">
    <w:p w:rsidR="0017215C" w:rsidRDefault="0017215C">
      <w:pPr>
        <w:pStyle w:val="FootnoteText"/>
      </w:pPr>
      <w:r>
        <w:rPr>
          <w:rStyle w:val="FootnoteReference"/>
        </w:rPr>
        <w:footnoteRef/>
      </w:r>
      <w:r>
        <w:t xml:space="preserve"> </w:t>
      </w:r>
      <w:r w:rsidR="00327B59">
        <w:t>A.k  Gopalan v. State of Madras, 1950 AIR 27.</w:t>
      </w:r>
    </w:p>
  </w:footnote>
  <w:footnote w:id="5">
    <w:p w:rsidR="0017215C" w:rsidRDefault="0017215C">
      <w:pPr>
        <w:pStyle w:val="FootnoteText"/>
      </w:pPr>
      <w:r>
        <w:rPr>
          <w:rStyle w:val="FootnoteReference"/>
        </w:rPr>
        <w:footnoteRef/>
      </w:r>
      <w:r>
        <w:t xml:space="preserve"> </w:t>
      </w:r>
      <w:r w:rsidR="00327B59">
        <w:t>A.K Gopalan v. State of Madras, 1950 AIR 27.</w:t>
      </w:r>
    </w:p>
  </w:footnote>
  <w:footnote w:id="6">
    <w:p w:rsidR="008240BE" w:rsidRDefault="008240BE">
      <w:pPr>
        <w:pStyle w:val="FootnoteText"/>
      </w:pPr>
      <w:r>
        <w:rPr>
          <w:rStyle w:val="FootnoteReference"/>
        </w:rPr>
        <w:footnoteRef/>
      </w:r>
      <w:r>
        <w:t xml:space="preserve"> Indiankanoon</w:t>
      </w:r>
      <w:r w:rsidR="00127C90">
        <w:t xml:space="preserve">.org  </w:t>
      </w:r>
    </w:p>
  </w:footnote>
  <w:footnote w:id="7">
    <w:p w:rsidR="00862C0B" w:rsidRDefault="00862C0B">
      <w:pPr>
        <w:pStyle w:val="FootnoteText"/>
      </w:pPr>
      <w:r>
        <w:rPr>
          <w:rStyle w:val="FootnoteReference"/>
        </w:rPr>
        <w:footnoteRef/>
      </w:r>
      <w:r>
        <w:t xml:space="preserve"> </w:t>
      </w:r>
      <w:r w:rsidR="00327B59">
        <w:t>INDIA CONST. art.19.</w:t>
      </w:r>
    </w:p>
  </w:footnote>
  <w:footnote w:id="8">
    <w:p w:rsidR="00327B59" w:rsidRDefault="007C4BAE">
      <w:pPr>
        <w:pStyle w:val="FootnoteText"/>
      </w:pPr>
      <w:r>
        <w:rPr>
          <w:rStyle w:val="FootnoteReference"/>
        </w:rPr>
        <w:footnoteRef/>
      </w:r>
      <w:r>
        <w:t xml:space="preserve"> </w:t>
      </w:r>
      <w:r w:rsidR="00327B59">
        <w:t>Indiankanoon.org</w:t>
      </w:r>
    </w:p>
  </w:footnote>
  <w:footnote w:id="9">
    <w:p w:rsidR="001C0B9B" w:rsidRDefault="001C0B9B">
      <w:pPr>
        <w:pStyle w:val="FootnoteText"/>
      </w:pPr>
      <w:r>
        <w:rPr>
          <w:rStyle w:val="FootnoteReference"/>
        </w:rPr>
        <w:footnoteRef/>
      </w:r>
      <w:r>
        <w:t xml:space="preserve"> </w:t>
      </w:r>
      <w:r w:rsidR="00327B59">
        <w:t xml:space="preserve">Indiankanoon.org </w:t>
      </w:r>
    </w:p>
  </w:footnote>
  <w:footnote w:id="10">
    <w:p w:rsidR="008A498B" w:rsidRDefault="008A498B">
      <w:pPr>
        <w:pStyle w:val="FootnoteText"/>
      </w:pPr>
    </w:p>
  </w:footnote>
  <w:footnote w:id="11">
    <w:p w:rsidR="00A27C6F" w:rsidRDefault="00A27C6F">
      <w:pPr>
        <w:pStyle w:val="FootnoteText"/>
      </w:pPr>
      <w:r>
        <w:rPr>
          <w:rStyle w:val="FootnoteReference"/>
        </w:rPr>
        <w:footnoteRef/>
      </w:r>
      <w:r>
        <w:t xml:space="preserve"> Sweta Rath, </w:t>
      </w:r>
      <w:r w:rsidRPr="00A27C6F">
        <w:rPr>
          <w:i/>
        </w:rPr>
        <w:t>Judicial Activism Under Article 21: Going Beyond The Four Walls of the Judiciary</w:t>
      </w:r>
      <w:r>
        <w:t xml:space="preserve">( September 6, 2014),ACADEMIKE,  </w:t>
      </w:r>
      <w:hyperlink r:id="rId1" w:history="1">
        <w:r w:rsidRPr="005875C5">
          <w:rPr>
            <w:rStyle w:val="Hyperlink"/>
          </w:rPr>
          <w:t>https://www.lawoctopus.com</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B03C9"/>
    <w:multiLevelType w:val="hybridMultilevel"/>
    <w:tmpl w:val="BBF09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2900"/>
    <w:rsid w:val="0000151F"/>
    <w:rsid w:val="000B6BA4"/>
    <w:rsid w:val="000F3238"/>
    <w:rsid w:val="00127C90"/>
    <w:rsid w:val="0017215C"/>
    <w:rsid w:val="001C0B9B"/>
    <w:rsid w:val="00286B33"/>
    <w:rsid w:val="00327B59"/>
    <w:rsid w:val="00357F9B"/>
    <w:rsid w:val="003D744C"/>
    <w:rsid w:val="00423EBD"/>
    <w:rsid w:val="00544F82"/>
    <w:rsid w:val="00637604"/>
    <w:rsid w:val="0065605E"/>
    <w:rsid w:val="006F7B3A"/>
    <w:rsid w:val="00702966"/>
    <w:rsid w:val="00715CF6"/>
    <w:rsid w:val="00722942"/>
    <w:rsid w:val="00792900"/>
    <w:rsid w:val="007C4BAE"/>
    <w:rsid w:val="008240BE"/>
    <w:rsid w:val="0085551A"/>
    <w:rsid w:val="00861E21"/>
    <w:rsid w:val="00862C0B"/>
    <w:rsid w:val="008A498B"/>
    <w:rsid w:val="008E75DC"/>
    <w:rsid w:val="00976816"/>
    <w:rsid w:val="0099585D"/>
    <w:rsid w:val="00A27C6F"/>
    <w:rsid w:val="00A90C37"/>
    <w:rsid w:val="00BA4D56"/>
    <w:rsid w:val="00C26EC9"/>
    <w:rsid w:val="00DE3D2E"/>
    <w:rsid w:val="00EB5B95"/>
    <w:rsid w:val="00FE0B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3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3EBD"/>
    <w:rPr>
      <w:sz w:val="20"/>
      <w:szCs w:val="20"/>
    </w:rPr>
  </w:style>
  <w:style w:type="character" w:styleId="FootnoteReference">
    <w:name w:val="footnote reference"/>
    <w:basedOn w:val="DefaultParagraphFont"/>
    <w:uiPriority w:val="99"/>
    <w:semiHidden/>
    <w:unhideWhenUsed/>
    <w:rsid w:val="00423EBD"/>
    <w:rPr>
      <w:vertAlign w:val="superscript"/>
    </w:rPr>
  </w:style>
  <w:style w:type="paragraph" w:styleId="ListParagraph">
    <w:name w:val="List Paragraph"/>
    <w:basedOn w:val="Normal"/>
    <w:uiPriority w:val="34"/>
    <w:qFormat/>
    <w:rsid w:val="00286B33"/>
    <w:pPr>
      <w:ind w:left="720"/>
      <w:contextualSpacing/>
    </w:pPr>
  </w:style>
  <w:style w:type="character" w:styleId="Hyperlink">
    <w:name w:val="Hyperlink"/>
    <w:basedOn w:val="DefaultParagraphFont"/>
    <w:uiPriority w:val="99"/>
    <w:unhideWhenUsed/>
    <w:rsid w:val="00A27C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awocto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11D6-6143-4629-BA42-F1983D68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2019-12-06T15:21:00Z</dcterms:created>
  <dcterms:modified xsi:type="dcterms:W3CDTF">2019-12-07T17:41:00Z</dcterms:modified>
</cp:coreProperties>
</file>