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Governing Law: State of Maryland</w:t>
      </w:r>
    </w:p>
    <w:p>
      <w:r>
        <w:t xml:space="preserve">Revenue: $127,400,000</w:t>
      </w:r>
    </w:p>
  </w:body>
</w:document>
</file>

<file path=word/_rels/document.xml.rels><?xml version='1.0' encoding='UTF-8'?>
<Relationships xmlns="http://schemas.openxmlformats.org/package/2006/relationships"/>
</file>