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Governing Law: State of Maryland</w:t>
      </w:r>
    </w:p>
    <w:p>
      <w:r>
        <w:rPr>
          <w:vanish/>
        </w:rPr>
        <w:t xml:space="preserve">CONFIDENTIAL: Actual governing law is Delaware per side letter dated 2024-01-15</w:t>
      </w:r>
    </w:p>
    <w:p>
      <w:r>
        <w:t xml:space="preserve">Revenue: $127,400,000</w:t>
      </w:r>
    </w:p>
  </w:body>
</w:document>
</file>

<file path=word/_rels/document.xml.rels><?xml version='1.0' encoding='UTF-8'?>
<Relationships xmlns="http://schemas.openxmlformats.org/package/2006/relationships"/>
</file>