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276" w:lineRule="auto"/>
        <w:ind w:firstLine="0"/>
        <w:jc w:val="center"/>
      </w:pPr>
      <w:r>
        <w:rPr>
          <w:b/>
          <w:sz w:val="26"/>
        </w:rPr>
        <w:t>EXHIBIT A — ESCOPO DE SERVIÇOS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Contrato de Licenciamento de Software como Serviço — NimbusFlow Tecnologia Ltda. e Meridiano Alimentos S.A.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Data de referência: 14 de março de 2024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A.1. MÓDULOS LICENCIADOS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Módulo</w:t>
            </w:r>
          </w:p>
        </w:tc>
        <w:tc>
          <w:tcPr>
            <w:tcW w:type="dxa" w:w="3135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3135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Usuários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Service Desk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Registro, triagem e resolução de chamados de consumidores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260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Voice Connect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Integração com central telefônica e gravação de chamadas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40</w:t>
            </w:r>
          </w:p>
        </w:tc>
      </w:tr>
      <w:tr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Insights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Relatórios operacionais e painéis de produtividade</w:t>
            </w:r>
          </w:p>
        </w:tc>
        <w:tc>
          <w:tcPr>
            <w:tcW w:type="dxa" w:w="3135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20</w:t>
            </w:r>
          </w:p>
        </w:tc>
      </w:tr>
    </w:tbl>
    <w:p>
      <w:pPr>
        <w:spacing w:after="120"/>
      </w:pP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A.2. CATEGORIAS DE DADOS PROCESSADOS NA PLATAFORMA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A Plataforma processa, no curso ordinário da operação de atendimento, as seguintes categorias de dados relativos a consumidores do Cliente: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nome completo, CPF e data de nascimento;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endereço residencial e endereço de entrega;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endereço de correio eletrônico e números de telefone;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histórico de compras e de interações com o Cliente;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gravações de chamadas telefônicas e transcrições automatizadas;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dados de geolocalização aproximada, quando o consumidor acessa o canal digital.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A Plataforma processa igualmente dados de identificação e de credenciais dos Usuários Autorizados do Cliente.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A.3. NÍVEIS DE SERVIÇO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Severidade</w:t>
            </w:r>
          </w:p>
        </w:tc>
        <w:tc>
          <w:tcPr>
            <w:tcW w:type="dxa" w:w="2351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Definição</w:t>
            </w:r>
          </w:p>
        </w:tc>
        <w:tc>
          <w:tcPr>
            <w:tcW w:type="dxa" w:w="2351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Tempo de primeira resposta</w:t>
            </w:r>
          </w:p>
        </w:tc>
        <w:tc>
          <w:tcPr>
            <w:tcW w:type="dxa" w:w="2351"/>
            <w:shd w:val="clear" w:color="auto" w:fill="DCE6F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Tempo de solução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S1 — Crítica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Plataforma indisponível para todos os usuários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30 minutos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 horas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S2 — Alta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Módulo indisponível ou degradação relevante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 horas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12 horas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S3 — Média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Funcionalidade específica com defeito, com contorno disponível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8 horas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5 dias úteis</w:t>
            </w:r>
          </w:p>
        </w:tc>
      </w:tr>
      <w:tr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S4 — Baixa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Dúvida, solicitação de configuração ou melhoria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24 horas</w:t>
            </w:r>
          </w:p>
        </w:tc>
        <w:tc>
          <w:tcPr>
            <w:tcW w:type="dxa" w:w="2351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conforme planejamento</w:t>
            </w:r>
          </w:p>
        </w:tc>
      </w:tr>
    </w:tbl>
    <w:p>
      <w:pPr>
        <w:spacing w:after="120"/>
      </w:pPr>
    </w:p>
    <w:p>
      <w:pPr>
        <w:spacing w:line="276" w:lineRule="auto" w:after="160"/>
        <w:ind w:firstLine="0"/>
        <w:jc w:val="both"/>
      </w:pPr>
      <w:r>
        <w:rPr>
          <w:b w:val="0"/>
        </w:rPr>
        <w:t>Disponibilidade mensal contratada: 99,5%, apurada mensalmente, excluídas as janelas de manutenção programada comunicadas com 48 horas de antecedência.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A.4. SERVIÇOS CORRELATOS INCLUÍDOS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provisionamento e desprovisionamento de Usuários Autorizados;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configuração de fluxos de atendimento e de regras de triagem;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disparo de mensagens transacionais aos consumidores, tais como confirmação de abertura de chamado, atualização de status e pesquisa de satisfação, por correio eletrônico e mensagem de texto;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exportação periódica de dados em formato estruturado, mediante solicitação.</w:t>
      </w:r>
    </w:p>
    <w:p>
      <w:pPr>
        <w:keepNext/>
        <w:spacing w:before="280" w:after="120"/>
        <w:ind w:firstLine="0"/>
        <w:jc w:val="left"/>
      </w:pPr>
      <w:r>
        <w:rPr>
          <w:b/>
          <w:sz w:val="22"/>
        </w:rPr>
        <w:t>A.5. SERVIÇOS EXPRESSAMENTE NÃO INCLUÍDOS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migração de dados de sistemas legados;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desenvolvimento de integrações sob medida;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treinamento presencial de usuários;</w:t>
      </w:r>
    </w:p>
    <w:p>
      <w:pPr>
        <w:pStyle w:val="ListBullet"/>
        <w:spacing w:after="60" w:line="276" w:lineRule="auto"/>
        <w:ind w:left="510" w:hanging="227"/>
        <w:jc w:val="both"/>
      </w:pPr>
      <w:r>
        <w:rPr>
          <w:b w:val="0"/>
        </w:rPr>
        <w:t>customização de relatórios além dos modelos padrão do módulo Insights.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BFBFBF"/>
      </w:pBdr>
      <w:tabs>
        <w:tab w:pos="9406" w:val="right"/>
      </w:tabs>
      <w:jc w:val="left"/>
    </w:pPr>
    <w:r/>
    <w:r>
      <w:rPr>
        <w:color w:val="595959"/>
        <w:sz w:val="16"/>
      </w:rPr>
      <w:t>Contrato de Licenciamento de Software como Serviço — NimbusFlow · Meridiano</w:t>
    </w:r>
    <w:r>
      <w:rPr>
        <w:b/>
        <w:color w:val="595959"/>
        <w:sz w:val="16"/>
      </w:rPr>
      <w:tab/>
      <w:t>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anexo-a-escopo-de-servicos</dc:title>
  <dc:subject/>
  <dc:creator>Documento sintetico - masterclass Fenalaw 2026</dc:creator>
  <cp:keywords/>
  <dc:description>Documento sintetico criado para a masterclass Fenalaw 2026. Nao e modelo contratual nem orientacao juridica.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