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line="276" w:lineRule="auto"/>
        <w:ind w:firstLine="0"/>
        <w:jc w:val="center"/>
      </w:pPr>
      <w:r>
        <w:rPr>
          <w:b/>
          <w:sz w:val="26"/>
        </w:rPr>
        <w:t>CONTRATO DE LICENCIAMENTO DE SOFTWARE COMO SERVIÇO E PRESTAÇÃO DE SERVIÇOS CORRELATOS</w:t>
      </w:r>
    </w:p>
    <w:p>
      <w:pPr>
        <w:spacing w:line="276" w:lineRule="auto" w:after="160"/>
        <w:ind w:firstLine="0"/>
        <w:jc w:val="both"/>
      </w:pPr>
      <w:r>
        <w:rPr>
          <w:b w:val="0"/>
        </w:rPr>
        <w:t>Este Contrato de Licenciamento de Software como Serviço e Prestação de Serviços Correlatos (o "</w:t>
      </w:r>
      <w:r>
        <w:rPr>
          <w:b/>
        </w:rPr>
        <w:t>Contrato</w:t>
      </w:r>
      <w:r>
        <w:rPr>
          <w:b w:val="0"/>
        </w:rPr>
        <w:t>") é celebrado em 14 de março de 2024, por e entre:</w:t>
      </w:r>
    </w:p>
    <w:p>
      <w:pPr>
        <w:spacing w:line="276" w:lineRule="auto" w:after="160"/>
        <w:ind w:firstLine="0"/>
        <w:jc w:val="both"/>
      </w:pPr>
      <w:r>
        <w:rPr>
          <w:b/>
        </w:rPr>
        <w:t>NIMBUSFLOW TECNOLOGIA LTDA.</w:t>
      </w:r>
      <w:r>
        <w:rPr>
          <w:b w:val="0"/>
        </w:rPr>
        <w:t>, sociedade empresária limitada inscrita no CNPJ/MF sob o nº 41.882.503/0001-77, com sede na Rua Doutor Renato Paes de Barros, 1017, conjunto 92, Itaim Bibi, São Paulo/SP, CEP 04530-001, neste ato representada na forma de seu contrato social ("</w:t>
      </w:r>
      <w:r>
        <w:rPr>
          <w:b/>
        </w:rPr>
        <w:t>Fornecedora</w:t>
      </w:r>
      <w:r>
        <w:rPr>
          <w:b w:val="0"/>
        </w:rPr>
        <w:t>"); e</w:t>
      </w:r>
    </w:p>
    <w:p>
      <w:pPr>
        <w:spacing w:line="276" w:lineRule="auto" w:after="160"/>
        <w:ind w:firstLine="0"/>
        <w:jc w:val="both"/>
      </w:pPr>
      <w:r>
        <w:rPr>
          <w:b/>
        </w:rPr>
        <w:t>MERIDIANO ALIMENTOS S.A.</w:t>
      </w:r>
      <w:r>
        <w:rPr>
          <w:b w:val="0"/>
        </w:rPr>
        <w:t>, sociedade por ações inscrita no CNPJ/MF sob o nº 09.447.216/0001-35, com sede na Avenida Engenheiro Luís Carlos Berrini, 550, 8º andar, Brooklin, São Paulo/SP, CEP 04571-000, neste ato representada na forma de seu estatuto social ("</w:t>
      </w:r>
      <w:r>
        <w:rPr>
          <w:b/>
        </w:rPr>
        <w:t>Cliente</w:t>
      </w:r>
      <w:r>
        <w:rPr>
          <w:b w:val="0"/>
        </w:rPr>
        <w:t>").</w:t>
      </w:r>
    </w:p>
    <w:p>
      <w:pPr>
        <w:spacing w:line="276" w:lineRule="auto" w:after="160"/>
        <w:ind w:firstLine="0"/>
        <w:jc w:val="both"/>
      </w:pPr>
      <w:r>
        <w:rPr>
          <w:b w:val="0"/>
        </w:rPr>
        <w:t>Fornecedora e Cliente são referidas individualmente como "</w:t>
      </w:r>
      <w:r>
        <w:rPr>
          <w:b/>
        </w:rPr>
        <w:t>Parte</w:t>
      </w:r>
      <w:r>
        <w:rPr>
          <w:b w:val="0"/>
        </w:rPr>
        <w:t>" e conjuntamente como "</w:t>
      </w:r>
      <w:r>
        <w:rPr>
          <w:b/>
        </w:rPr>
        <w:t>Partes</w:t>
      </w:r>
      <w:r>
        <w:rPr>
          <w:b w:val="0"/>
        </w:rPr>
        <w:t>".</w:t>
      </w:r>
    </w:p>
    <w:p>
      <w:pPr>
        <w:spacing w:line="276" w:lineRule="auto" w:after="160"/>
        <w:ind w:firstLine="0"/>
        <w:jc w:val="both"/>
      </w:pPr>
      <w:r>
        <w:rPr>
          <w:b/>
        </w:rPr>
        <w:t>CONSIDERANDO QUE</w:t>
      </w:r>
      <w:r>
        <w:rPr>
          <w:b w:val="0"/>
        </w:rPr>
        <w:t xml:space="preserve"> a Fornecedora desenvolveu e opera uma plataforma de gestão de atendimento e relacionamento com consumidores;</w:t>
      </w:r>
    </w:p>
    <w:p>
      <w:pPr>
        <w:spacing w:line="276" w:lineRule="auto" w:after="160"/>
        <w:ind w:firstLine="0"/>
        <w:jc w:val="both"/>
      </w:pPr>
      <w:r>
        <w:rPr>
          <w:b/>
        </w:rPr>
        <w:t>CONSIDERANDO QUE</w:t>
      </w:r>
      <w:r>
        <w:rPr>
          <w:b w:val="0"/>
        </w:rPr>
        <w:t xml:space="preserve"> o Cliente deseja licenciar o acesso à referida plataforma para suas operações de atendimento ao consumidor;</w:t>
      </w:r>
    </w:p>
    <w:p>
      <w:pPr>
        <w:spacing w:line="276" w:lineRule="auto" w:after="160"/>
        <w:ind w:firstLine="0"/>
        <w:jc w:val="both"/>
      </w:pPr>
      <w:r>
        <w:rPr>
          <w:b/>
        </w:rPr>
        <w:t>AGORA, PORTANTO</w:t>
      </w:r>
      <w:r>
        <w:rPr>
          <w:b w:val="0"/>
        </w:rPr>
        <w:t>, as Partes acordam o quanto segue:</w:t>
      </w:r>
    </w:p>
    <w:p>
      <w:pPr>
        <w:pBdr>
          <w:bottom w:val="single" w:sz="6" w:space="1" w:color="BFBFBF"/>
        </w:pBdr>
        <w:spacing w:before="40" w:after="200"/>
      </w:pPr>
    </w:p>
    <w:p>
      <w:pPr>
        <w:keepNext/>
        <w:spacing w:before="280" w:after="120"/>
        <w:ind w:firstLine="0"/>
        <w:jc w:val="left"/>
      </w:pPr>
      <w:r>
        <w:rPr>
          <w:b/>
          <w:sz w:val="22"/>
        </w:rPr>
        <w:t>1. DEFINIÇÕES</w:t>
      </w:r>
    </w:p>
    <w:p>
      <w:pPr>
        <w:tabs>
          <w:tab w:pos="964" w:val="left"/>
        </w:tabs>
        <w:spacing w:line="276" w:lineRule="auto" w:after="160"/>
        <w:ind w:left="964" w:hanging="964"/>
        <w:jc w:val="both"/>
      </w:pPr>
      <w:r>
        <w:t>1.1.</w:t>
      </w:r>
      <w:r>
        <w:tab/>
      </w:r>
      <w:r>
        <w:rPr>
          <w:b w:val="0"/>
        </w:rPr>
        <w:t>Os termos abaixo, quando iniciados em letra maiúscula, terão os significados a eles atribuídos nesta Cláusula 1, quer no singular, quer no plural.</w:t>
      </w:r>
    </w:p>
    <w:p>
      <w:pPr>
        <w:tabs>
          <w:tab w:pos="1247" w:val="left"/>
        </w:tabs>
        <w:spacing w:line="276" w:lineRule="auto" w:after="160"/>
        <w:ind w:left="1247" w:hanging="1247"/>
        <w:jc w:val="both"/>
      </w:pPr>
      <w:r>
        <w:t>1.1.1.</w:t>
      </w:r>
      <w:r>
        <w:tab/>
      </w:r>
      <w:r>
        <w:rPr>
          <w:b w:val="0"/>
        </w:rPr>
        <w:t>"</w:t>
      </w:r>
      <w:r>
        <w:rPr>
          <w:b/>
        </w:rPr>
        <w:t>Plataforma</w:t>
      </w:r>
      <w:r>
        <w:rPr>
          <w:b w:val="0"/>
        </w:rPr>
        <w:t>" significa a solução de software como serviço denominada NimbusFlow Service Cloud, incluindo suas atualizações, correções e novas versões disponibilizadas pela Fornecedora durante a vigência.</w:t>
      </w:r>
    </w:p>
    <w:p>
      <w:pPr>
        <w:tabs>
          <w:tab w:pos="1247" w:val="left"/>
        </w:tabs>
        <w:spacing w:line="276" w:lineRule="auto" w:after="160"/>
        <w:ind w:left="1247" w:hanging="1247"/>
        <w:jc w:val="both"/>
      </w:pPr>
      <w:r>
        <w:t>1.1.2.</w:t>
      </w:r>
      <w:r>
        <w:tab/>
      </w:r>
      <w:r>
        <w:rPr>
          <w:b w:val="0"/>
        </w:rPr>
        <w:t>"</w:t>
      </w:r>
      <w:r>
        <w:rPr>
          <w:b/>
        </w:rPr>
        <w:t>Dados do Cliente</w:t>
      </w:r>
      <w:r>
        <w:rPr>
          <w:b w:val="0"/>
        </w:rPr>
        <w:t>" significa todo e qualquer dado, informação, registro ou conteúdo inserido, carregado ou gerado pelo Cliente ou por seus Usuários Autorizados por meio da Plataforma.</w:t>
      </w:r>
    </w:p>
    <w:p>
      <w:pPr>
        <w:tabs>
          <w:tab w:pos="1247" w:val="left"/>
        </w:tabs>
        <w:spacing w:line="276" w:lineRule="auto" w:after="160"/>
        <w:ind w:left="1247" w:hanging="1247"/>
        <w:jc w:val="both"/>
      </w:pPr>
      <w:r>
        <w:t>1.1.3.</w:t>
      </w:r>
      <w:r>
        <w:tab/>
      </w:r>
      <w:r>
        <w:rPr>
          <w:b w:val="0"/>
        </w:rPr>
        <w:t>"</w:t>
      </w:r>
      <w:r>
        <w:rPr>
          <w:b/>
        </w:rPr>
        <w:t>Usuários Autorizados</w:t>
      </w:r>
      <w:r>
        <w:rPr>
          <w:b w:val="0"/>
        </w:rPr>
        <w:t>" significa os empregados, prepostos e prestadores de serviço do Cliente devidamente cadastrados e autorizados a acessar a Plataforma.</w:t>
      </w:r>
    </w:p>
    <w:p>
      <w:pPr>
        <w:tabs>
          <w:tab w:pos="1247" w:val="left"/>
        </w:tabs>
        <w:spacing w:line="276" w:lineRule="auto" w:after="160"/>
        <w:ind w:left="1247" w:hanging="1247"/>
        <w:jc w:val="both"/>
      </w:pPr>
      <w:r>
        <w:t>1.1.4.</w:t>
      </w:r>
      <w:r>
        <w:tab/>
      </w:r>
      <w:r>
        <w:rPr>
          <w:b w:val="0"/>
        </w:rPr>
        <w:t>"</w:t>
      </w:r>
      <w:r>
        <w:rPr>
          <w:b/>
        </w:rPr>
        <w:t>Serviços de Suporte</w:t>
      </w:r>
      <w:r>
        <w:rPr>
          <w:b w:val="0"/>
        </w:rPr>
        <w:t>" significa as atividades de manutenção corretiva, atendimento técnico e resolução de incidentes descritas no Exhibit A (Escopo de Serviços).</w:t>
      </w:r>
    </w:p>
    <w:p>
      <w:pPr>
        <w:tabs>
          <w:tab w:pos="1247" w:val="left"/>
        </w:tabs>
        <w:spacing w:line="276" w:lineRule="auto" w:after="160"/>
        <w:ind w:left="1247" w:hanging="1247"/>
        <w:jc w:val="both"/>
      </w:pPr>
      <w:r>
        <w:t>1.1.5.</w:t>
      </w:r>
      <w:r>
        <w:tab/>
      </w:r>
      <w:r>
        <w:rPr>
          <w:b w:val="0"/>
        </w:rPr>
        <w:t>"</w:t>
      </w:r>
      <w:r>
        <w:rPr>
          <w:b/>
        </w:rPr>
        <w:t>Incidente de Segurança</w:t>
      </w:r>
      <w:r>
        <w:rPr>
          <w:b w:val="0"/>
        </w:rPr>
        <w:t>" significa qualquer evento adverso, confirmado ou sob suspeita razoável, que resulte em acesso não autorizado, perda, alteração, divulgação ou destruição dos Dados do Cliente.</w:t>
      </w:r>
    </w:p>
    <w:p>
      <w:pPr>
        <w:tabs>
          <w:tab w:pos="1247" w:val="left"/>
        </w:tabs>
        <w:spacing w:line="276" w:lineRule="auto" w:after="160"/>
        <w:ind w:left="1247" w:hanging="1247"/>
        <w:jc w:val="both"/>
      </w:pPr>
      <w:r>
        <w:t>1.1.6.</w:t>
      </w:r>
      <w:r>
        <w:tab/>
      </w:r>
      <w:r>
        <w:rPr>
          <w:b w:val="0"/>
        </w:rPr>
        <w:t>"</w:t>
      </w:r>
      <w:r>
        <w:rPr>
          <w:b/>
        </w:rPr>
        <w:t>Legislação de Proteção de Dados</w:t>
      </w:r>
      <w:r>
        <w:rPr>
          <w:b w:val="0"/>
        </w:rPr>
        <w:t>" significa a Lei nº 13.709/2018 e demais normas brasileiras aplicáveis ao tratamento de dados pessoais.</w:t>
      </w:r>
    </w:p>
    <w:p>
      <w:pPr>
        <w:pBdr>
          <w:bottom w:val="single" w:sz="6" w:space="1" w:color="BFBFBF"/>
        </w:pBdr>
        <w:spacing w:before="40" w:after="200"/>
      </w:pPr>
    </w:p>
    <w:p>
      <w:pPr>
        <w:keepNext/>
        <w:spacing w:before="280" w:after="120"/>
        <w:ind w:firstLine="0"/>
        <w:jc w:val="left"/>
      </w:pPr>
      <w:r>
        <w:rPr>
          <w:b/>
          <w:sz w:val="22"/>
        </w:rPr>
        <w:t>2. OBJETO E LICENÇA</w:t>
      </w:r>
    </w:p>
    <w:p>
      <w:pPr>
        <w:tabs>
          <w:tab w:pos="964" w:val="left"/>
        </w:tabs>
        <w:spacing w:line="276" w:lineRule="auto" w:after="160"/>
        <w:ind w:left="964" w:hanging="964"/>
        <w:jc w:val="both"/>
      </w:pPr>
      <w:r>
        <w:t>2.1.</w:t>
      </w:r>
      <w:r>
        <w:tab/>
      </w:r>
      <w:r>
        <w:rPr>
          <w:b w:val="0"/>
        </w:rPr>
        <w:t>Sujeito aos termos e condições deste Contrato, a Fornecedora concede ao Cliente licença não exclusiva, intransferível e não sublicenciável para acesso e uso da Plataforma, durante a vigência, exclusivamente para as finalidades internas de negócio do Cliente.</w:t>
      </w:r>
    </w:p>
    <w:p>
      <w:pPr>
        <w:tabs>
          <w:tab w:pos="964" w:val="left"/>
        </w:tabs>
        <w:spacing w:line="276" w:lineRule="auto" w:after="160"/>
        <w:ind w:left="964" w:hanging="964"/>
        <w:jc w:val="both"/>
      </w:pPr>
      <w:r>
        <w:t>2.2.</w:t>
      </w:r>
      <w:r>
        <w:tab/>
      </w:r>
      <w:r>
        <w:rPr>
          <w:b w:val="0"/>
        </w:rPr>
        <w:t xml:space="preserve">A Fornecedora prestará ao Cliente os Serviços de Suporte, na forma e nos níveis descritos no </w:t>
      </w:r>
      <w:r>
        <w:rPr>
          <w:b/>
        </w:rPr>
        <w:t>Exhibit A (Escopo de Serviços)</w:t>
      </w:r>
      <w:r>
        <w:rPr>
          <w:b w:val="0"/>
        </w:rPr>
        <w:t>, o qual integra este Contrato para todos os fins.</w:t>
      </w:r>
    </w:p>
    <w:p>
      <w:pPr>
        <w:tabs>
          <w:tab w:pos="964" w:val="left"/>
        </w:tabs>
        <w:spacing w:line="276" w:lineRule="auto" w:after="160"/>
        <w:ind w:left="964" w:hanging="964"/>
        <w:jc w:val="both"/>
      </w:pPr>
      <w:r>
        <w:t>2.3.</w:t>
      </w:r>
      <w:r>
        <w:tab/>
      </w:r>
      <w:r>
        <w:rPr>
          <w:b w:val="0"/>
        </w:rPr>
        <w:t xml:space="preserve">Os requisitos técnicos de disponibilidade, continuidade e recuperação encontram-se descritos no </w:t>
      </w:r>
      <w:r>
        <w:rPr>
          <w:b/>
        </w:rPr>
        <w:t>Exhibit B (Plano de Continuidade de Negócios)</w:t>
      </w:r>
      <w:r>
        <w:rPr>
          <w:b w:val="0"/>
        </w:rPr>
        <w:t>, o qual igualmente integra este Contrato.</w:t>
      </w:r>
    </w:p>
    <w:p>
      <w:pPr>
        <w:tabs>
          <w:tab w:pos="964" w:val="left"/>
        </w:tabs>
        <w:spacing w:line="276" w:lineRule="auto" w:after="160"/>
        <w:ind w:left="964" w:hanging="964"/>
        <w:jc w:val="both"/>
      </w:pPr>
      <w:r>
        <w:t>2.4.</w:t>
      </w:r>
      <w:r>
        <w:tab/>
      </w:r>
      <w:r>
        <w:rPr>
          <w:b w:val="0"/>
        </w:rPr>
        <w:t xml:space="preserve">A descrição da infraestrutura por meio da qual a Plataforma é disponibilizada consta do </w:t>
      </w:r>
      <w:r>
        <w:rPr>
          <w:b/>
        </w:rPr>
        <w:t>Exhibit C (Infraestrutura e Hospedagem)</w:t>
      </w:r>
      <w:r>
        <w:rPr>
          <w:b w:val="0"/>
        </w:rPr>
        <w:t>.</w:t>
      </w:r>
    </w:p>
    <w:p>
      <w:pPr>
        <w:tabs>
          <w:tab w:pos="964" w:val="left"/>
        </w:tabs>
        <w:spacing w:line="276" w:lineRule="auto" w:after="160"/>
        <w:ind w:left="964" w:hanging="964"/>
        <w:jc w:val="both"/>
      </w:pPr>
      <w:r>
        <w:t>2.5.</w:t>
      </w:r>
      <w:r>
        <w:tab/>
      </w:r>
      <w:r>
        <w:rPr>
          <w:b w:val="0"/>
        </w:rPr>
        <w:t>Nada neste Contrato transfere ao Cliente qualquer direito de propriedade intelectual sobre a Plataforma, seu código-fonte, sua arquitetura ou sua documentação, os quais permanecem de titularidade exclusiva da Fornecedora.</w:t>
      </w:r>
    </w:p>
    <w:p>
      <w:pPr>
        <w:pBdr>
          <w:bottom w:val="single" w:sz="6" w:space="1" w:color="BFBFBF"/>
        </w:pBdr>
        <w:spacing w:before="40" w:after="200"/>
      </w:pPr>
    </w:p>
    <w:p>
      <w:pPr>
        <w:keepNext/>
        <w:spacing w:before="280" w:after="120"/>
        <w:ind w:firstLine="0"/>
        <w:jc w:val="left"/>
      </w:pPr>
      <w:r>
        <w:rPr>
          <w:b/>
          <w:sz w:val="22"/>
        </w:rPr>
        <w:t>3. PREÇO, REAJUSTE E CONDIÇÕES DE PAGAMENTO</w:t>
      </w:r>
    </w:p>
    <w:p>
      <w:pPr>
        <w:tabs>
          <w:tab w:pos="964" w:val="left"/>
        </w:tabs>
        <w:spacing w:line="276" w:lineRule="auto" w:after="160"/>
        <w:ind w:left="964" w:hanging="964"/>
        <w:jc w:val="both"/>
      </w:pPr>
      <w:r>
        <w:t>3.1.</w:t>
      </w:r>
      <w:r>
        <w:tab/>
      </w:r>
      <w:r>
        <w:rPr>
          <w:b w:val="0"/>
        </w:rPr>
        <w:t>Pelo licenciamento da Plataforma e pela prestação dos Serviços de Suporte, o Cliente pagará à Fornecedora a quantia mensal de R$ 38.400,00 (trinta e oito mil e quatrocentos reais), correspondente a até 320 (trezentos e vinte) Usuários Autorizados.</w:t>
      </w:r>
    </w:p>
    <w:p>
      <w:pPr>
        <w:tabs>
          <w:tab w:pos="964" w:val="left"/>
        </w:tabs>
        <w:spacing w:line="276" w:lineRule="auto" w:after="160"/>
        <w:ind w:left="964" w:hanging="964"/>
        <w:jc w:val="both"/>
      </w:pPr>
      <w:r>
        <w:t>3.2.</w:t>
      </w:r>
      <w:r>
        <w:tab/>
      </w:r>
      <w:r>
        <w:rPr>
          <w:b w:val="0"/>
        </w:rPr>
        <w:t>O pagamento será realizado até o 10º (décimo) dia do mês subsequente ao da prestação, mediante apresentação da respectiva nota fiscal.</w:t>
      </w:r>
    </w:p>
    <w:p>
      <w:pPr>
        <w:tabs>
          <w:tab w:pos="964" w:val="left"/>
        </w:tabs>
        <w:spacing w:line="276" w:lineRule="auto" w:after="160"/>
        <w:ind w:left="964" w:hanging="964"/>
        <w:jc w:val="both"/>
      </w:pPr>
      <w:r>
        <w:t>3.3.</w:t>
      </w:r>
      <w:r>
        <w:tab/>
      </w:r>
      <w:r>
        <w:rPr>
          <w:b w:val="0"/>
        </w:rPr>
        <w:t>Os valores previstos na Cláusula 3.1 serão reajustados anualmente, a contar da data de assinatura, pela variação acumulada do índice de preços aplicável ao setor, apurado no período de doze meses imediatamente anterior à data do reajuste.</w:t>
      </w:r>
    </w:p>
    <w:p>
      <w:pPr>
        <w:tabs>
          <w:tab w:pos="964" w:val="left"/>
        </w:tabs>
        <w:spacing w:line="276" w:lineRule="auto" w:after="160"/>
        <w:ind w:left="964" w:hanging="964"/>
        <w:jc w:val="both"/>
      </w:pPr>
      <w:r>
        <w:t>3.4.</w:t>
      </w:r>
      <w:r>
        <w:tab/>
      </w:r>
      <w:r>
        <w:rPr>
          <w:b w:val="0"/>
        </w:rPr>
        <w:t>O atraso no pagamento sujeitará o Cliente a multa de 2% (dois por cento) sobre o valor em aberto, acrescida de juros de mora de 1% (um por cento) ao mês, pro rata die.</w:t>
      </w:r>
    </w:p>
    <w:p>
      <w:pPr>
        <w:pBdr>
          <w:bottom w:val="single" w:sz="6" w:space="1" w:color="BFBFBF"/>
        </w:pBdr>
        <w:spacing w:before="40" w:after="200"/>
      </w:pPr>
    </w:p>
    <w:p>
      <w:pPr>
        <w:keepNext/>
        <w:spacing w:before="280" w:after="120"/>
        <w:ind w:firstLine="0"/>
        <w:jc w:val="left"/>
      </w:pPr>
      <w:r>
        <w:rPr>
          <w:b/>
          <w:sz w:val="22"/>
        </w:rPr>
        <w:t>4. PRAZO E RENOVAÇÃO</w:t>
      </w:r>
    </w:p>
    <w:p>
      <w:pPr>
        <w:tabs>
          <w:tab w:pos="964" w:val="left"/>
        </w:tabs>
        <w:spacing w:line="276" w:lineRule="auto" w:after="160"/>
        <w:ind w:left="964" w:hanging="964"/>
        <w:jc w:val="both"/>
      </w:pPr>
      <w:r>
        <w:t>4.1.</w:t>
      </w:r>
      <w:r>
        <w:tab/>
      </w:r>
      <w:r>
        <w:rPr>
          <w:b w:val="0"/>
        </w:rPr>
        <w:t>Este Contrato vigorará pelo prazo de 24 (vinte e quatro) meses, contados da data de sua assinatura.</w:t>
      </w:r>
    </w:p>
    <w:p>
      <w:pPr>
        <w:tabs>
          <w:tab w:pos="964" w:val="left"/>
        </w:tabs>
        <w:spacing w:line="276" w:lineRule="auto" w:after="160"/>
        <w:ind w:left="964" w:hanging="964"/>
        <w:jc w:val="both"/>
      </w:pPr>
      <w:r>
        <w:t>4.2.</w:t>
      </w:r>
      <w:r>
        <w:tab/>
      </w:r>
      <w:r>
        <w:rPr>
          <w:b w:val="0"/>
        </w:rPr>
        <w:t>Findo o prazo inicial, este Contrato será automaticamente renovado por sucessivos períodos de 12 (doze) meses, independentemente de manifestação das Partes, salvo se qualquer delas notificar a outra, por escrito, com antecedência mínima de 90 (noventa) dias do respectivo termo final, acerca de sua intenção de não renovar.</w:t>
      </w:r>
    </w:p>
    <w:p>
      <w:pPr>
        <w:tabs>
          <w:tab w:pos="964" w:val="left"/>
        </w:tabs>
        <w:spacing w:line="276" w:lineRule="auto" w:after="160"/>
        <w:ind w:left="964" w:hanging="964"/>
        <w:jc w:val="both"/>
      </w:pPr>
      <w:r>
        <w:t>4.3.</w:t>
      </w:r>
      <w:r>
        <w:tab/>
      </w:r>
      <w:r>
        <w:rPr>
          <w:b w:val="0"/>
        </w:rPr>
        <w:t>Na hipótese de rescisão imotivada pelo Cliente antes do término do prazo então vigente, será devida multa compensatória equivalente a 40% (quarenta por cento) do valor remanescente do período.</w:t>
      </w:r>
    </w:p>
    <w:p>
      <w:pPr>
        <w:pBdr>
          <w:bottom w:val="single" w:sz="6" w:space="1" w:color="BFBFBF"/>
        </w:pBdr>
        <w:spacing w:before="40" w:after="200"/>
      </w:pPr>
    </w:p>
    <w:p>
      <w:pPr>
        <w:keepNext/>
        <w:spacing w:before="280" w:after="120"/>
        <w:ind w:firstLine="0"/>
        <w:jc w:val="left"/>
      </w:pPr>
      <w:r>
        <w:rPr>
          <w:b/>
          <w:sz w:val="22"/>
        </w:rPr>
        <w:t>5. TRATAMENTO DE DADOS PESSOAIS</w:t>
      </w:r>
    </w:p>
    <w:p>
      <w:pPr>
        <w:tabs>
          <w:tab w:pos="964" w:val="left"/>
        </w:tabs>
        <w:spacing w:line="276" w:lineRule="auto" w:after="160"/>
        <w:ind w:left="964" w:hanging="964"/>
        <w:jc w:val="both"/>
      </w:pPr>
      <w:r>
        <w:t>5.1.</w:t>
      </w:r>
      <w:r>
        <w:tab/>
      </w:r>
      <w:r>
        <w:rPr>
          <w:b w:val="0"/>
        </w:rPr>
        <w:t>As Partes reconhecem que, na execução deste Contrato, a Fornecedora poderá tratar dados pessoais em nome e por conta do Cliente.</w:t>
      </w:r>
    </w:p>
    <w:p>
      <w:pPr>
        <w:tabs>
          <w:tab w:pos="964" w:val="left"/>
        </w:tabs>
        <w:spacing w:line="276" w:lineRule="auto" w:after="160"/>
        <w:ind w:left="964" w:hanging="964"/>
        <w:jc w:val="both"/>
      </w:pPr>
      <w:r>
        <w:t>5.2.</w:t>
      </w:r>
      <w:r>
        <w:tab/>
      </w:r>
      <w:r>
        <w:rPr>
          <w:b w:val="0"/>
        </w:rPr>
        <w:t>Para os fins da Legislação de Proteção de Dados, o Cliente atua na qualidade de controlador e a Fornecedora atua na qualidade de operador, obrigando-se esta última a tratar os dados pessoais exclusivamente conforme as instruções documentadas do Cliente e para as finalidades estritamente necessárias à execução deste Contrato.</w:t>
      </w:r>
    </w:p>
    <w:p>
      <w:pPr>
        <w:tabs>
          <w:tab w:pos="964" w:val="left"/>
        </w:tabs>
        <w:spacing w:line="276" w:lineRule="auto" w:after="160"/>
        <w:ind w:left="964" w:hanging="964"/>
        <w:jc w:val="both"/>
      </w:pPr>
      <w:r>
        <w:t>5.3.</w:t>
      </w:r>
      <w:r>
        <w:tab/>
      </w:r>
      <w:r>
        <w:rPr>
          <w:b w:val="0"/>
        </w:rPr>
        <w:t>A Fornecedora implementará medidas técnicas e administrativas aptas a proteger os dados pessoais de acessos não autorizados e de situações acidentais ou ilícitas de destruição, perda, alteração, comunicação ou difusão, observados os padrões de mercado aplicáveis.</w:t>
      </w:r>
    </w:p>
    <w:p>
      <w:pPr>
        <w:tabs>
          <w:tab w:pos="964" w:val="left"/>
        </w:tabs>
        <w:spacing w:line="276" w:lineRule="auto" w:after="160"/>
        <w:ind w:left="964" w:hanging="964"/>
        <w:jc w:val="both"/>
      </w:pPr>
      <w:r>
        <w:t>5.4.</w:t>
      </w:r>
      <w:r>
        <w:tab/>
      </w:r>
      <w:r>
        <w:rPr>
          <w:b w:val="0"/>
        </w:rPr>
        <w:t>A Fornecedora poderá contratar terceiros para a execução de atividades acessórias ao objeto deste Contrato, incluindo serviços de infraestrutura, monitoramento e disparo de mensagens transacionais, comprometendo-se a informar o Cliente, sempre que solicitada, acerca da identidade de tais terceiros.</w:t>
      </w:r>
    </w:p>
    <w:p>
      <w:pPr>
        <w:tabs>
          <w:tab w:pos="964" w:val="left"/>
        </w:tabs>
        <w:spacing w:line="276" w:lineRule="auto" w:after="160"/>
        <w:ind w:left="964" w:hanging="964"/>
        <w:jc w:val="both"/>
      </w:pPr>
      <w:r>
        <w:t>5.5.</w:t>
      </w:r>
      <w:r>
        <w:tab/>
      </w:r>
      <w:r>
        <w:rPr>
          <w:b w:val="0"/>
        </w:rPr>
        <w:t>A Fornecedora comunicará ao Cliente a ocorrência de Incidente de Segurança que possa acarretar risco ou dano relevante aos titulares, no prazo de até 10 (dez) dias úteis contados da data em que a Fornecedora tomar conhecimento do evento, fornecendo as informações de que dispuser naquele momento.</w:t>
      </w:r>
    </w:p>
    <w:p>
      <w:pPr>
        <w:tabs>
          <w:tab w:pos="964" w:val="left"/>
        </w:tabs>
        <w:spacing w:line="276" w:lineRule="auto" w:after="160"/>
        <w:ind w:left="964" w:hanging="964"/>
        <w:jc w:val="both"/>
      </w:pPr>
      <w:r>
        <w:t>5.6.</w:t>
      </w:r>
      <w:r>
        <w:tab/>
      </w:r>
      <w:r>
        <w:rPr>
          <w:b w:val="0"/>
        </w:rPr>
        <w:t>Não obstante o disposto acima, a Fornecedora não será responsável por qualquer descumprimento da Legislação de Proteção de Dados decorrente de instruções emanadas do Cliente.</w:t>
      </w:r>
    </w:p>
    <w:p>
      <w:pPr>
        <w:tabs>
          <w:tab w:pos="964" w:val="left"/>
        </w:tabs>
        <w:spacing w:line="276" w:lineRule="auto" w:after="160"/>
        <w:ind w:left="964" w:hanging="964"/>
        <w:jc w:val="both"/>
      </w:pPr>
      <w:r>
        <w:t>5.7.</w:t>
      </w:r>
      <w:r>
        <w:tab/>
      </w:r>
      <w:r>
        <w:rPr>
          <w:b w:val="0"/>
        </w:rPr>
        <w:t>Encerrada a vigência, a Fornecedora manterá os Dados do Cliente disponíveis para exportação por 30 (trinta) dias, após o que poderá eliminá-los.</w:t>
      </w:r>
    </w:p>
    <w:p>
      <w:pPr>
        <w:pBdr>
          <w:bottom w:val="single" w:sz="6" w:space="1" w:color="BFBFBF"/>
        </w:pBdr>
        <w:spacing w:before="40" w:after="200"/>
      </w:pPr>
    </w:p>
    <w:p>
      <w:pPr>
        <w:keepNext/>
        <w:spacing w:before="280" w:after="120"/>
        <w:ind w:firstLine="0"/>
        <w:jc w:val="left"/>
      </w:pPr>
      <w:r>
        <w:rPr>
          <w:b/>
          <w:sz w:val="22"/>
        </w:rPr>
        <w:t>6. CONFIDENCIALIDADE</w:t>
      </w:r>
    </w:p>
    <w:p>
      <w:pPr>
        <w:tabs>
          <w:tab w:pos="964" w:val="left"/>
        </w:tabs>
        <w:spacing w:line="276" w:lineRule="auto" w:after="160"/>
        <w:ind w:left="964" w:hanging="964"/>
        <w:jc w:val="both"/>
      </w:pPr>
      <w:r>
        <w:t>6.1.</w:t>
      </w:r>
      <w:r>
        <w:tab/>
      </w:r>
      <w:r>
        <w:rPr>
          <w:b w:val="0"/>
        </w:rPr>
        <w:t>Cada Parte obriga-se a manter em sigilo todas as informações confidenciais a que tiver acesso em razão deste Contrato, delas não se utilizando senão para as finalidades aqui previstas.</w:t>
      </w:r>
    </w:p>
    <w:p>
      <w:pPr>
        <w:tabs>
          <w:tab w:pos="964" w:val="left"/>
        </w:tabs>
        <w:spacing w:line="276" w:lineRule="auto" w:after="160"/>
        <w:ind w:left="964" w:hanging="964"/>
        <w:jc w:val="both"/>
      </w:pPr>
      <w:r>
        <w:t>6.2.</w:t>
      </w:r>
      <w:r>
        <w:tab/>
      </w:r>
      <w:r>
        <w:rPr>
          <w:b w:val="0"/>
        </w:rPr>
        <w:t>As obrigações desta Cláusula 6 subsistirão por 5 (cinco) anos contados do término deste Contrato, por qualquer motivo.</w:t>
      </w:r>
    </w:p>
    <w:p>
      <w:pPr>
        <w:pBdr>
          <w:bottom w:val="single" w:sz="6" w:space="1" w:color="BFBFBF"/>
        </w:pBdr>
        <w:spacing w:before="40" w:after="200"/>
      </w:pPr>
    </w:p>
    <w:p>
      <w:pPr>
        <w:keepNext/>
        <w:spacing w:before="280" w:after="120"/>
        <w:ind w:firstLine="0"/>
        <w:jc w:val="left"/>
      </w:pPr>
      <w:r>
        <w:rPr>
          <w:b/>
          <w:sz w:val="22"/>
        </w:rPr>
        <w:t>7. LIMITAÇÃO DE RESPONSABILIDADE</w:t>
      </w:r>
    </w:p>
    <w:p>
      <w:pPr>
        <w:tabs>
          <w:tab w:pos="964" w:val="left"/>
        </w:tabs>
        <w:spacing w:line="276" w:lineRule="auto" w:after="160"/>
        <w:ind w:left="964" w:hanging="964"/>
        <w:jc w:val="both"/>
      </w:pPr>
      <w:r>
        <w:t>7.1.</w:t>
      </w:r>
      <w:r>
        <w:tab/>
      </w:r>
      <w:r>
        <w:rPr>
          <w:b w:val="0"/>
        </w:rPr>
        <w:t>Na máxima extensão permitida pela lei aplicável, a responsabilidade total e agregada da Fornecedora perante o Cliente, por quaisquer perdas, danos, custos ou despesas decorrentes deste Contrato ou com ele relacionados, seja qual for a natureza da pretensão, não excederá o valor de 1 (uma) mensalidade efetivamente paga pelo Cliente no mês imediatamente anterior ao do evento que houver dado causa à pretensão.</w:t>
      </w:r>
    </w:p>
    <w:p>
      <w:pPr>
        <w:tabs>
          <w:tab w:pos="964" w:val="left"/>
        </w:tabs>
        <w:spacing w:line="276" w:lineRule="auto" w:after="160"/>
        <w:ind w:left="964" w:hanging="964"/>
        <w:jc w:val="both"/>
      </w:pPr>
      <w:r>
        <w:t>7.2.</w:t>
      </w:r>
      <w:r>
        <w:tab/>
      </w:r>
      <w:r>
        <w:rPr>
          <w:b w:val="0"/>
        </w:rPr>
        <w:t>Em nenhuma hipótese a Fornecedora responderá por lucros cessantes, perda de receita, perda de dados, danos indiretos, incidentais, especiais ou consequenciais, ainda que advertida da possibilidade de sua ocorrência.</w:t>
      </w:r>
    </w:p>
    <w:p>
      <w:pPr>
        <w:tabs>
          <w:tab w:pos="964" w:val="left"/>
        </w:tabs>
        <w:spacing w:line="276" w:lineRule="auto" w:after="160"/>
        <w:ind w:left="964" w:hanging="964"/>
        <w:jc w:val="both"/>
      </w:pPr>
      <w:r>
        <w:t>7.3.</w:t>
      </w:r>
      <w:r>
        <w:tab/>
      </w:r>
      <w:r>
        <w:rPr>
          <w:b w:val="0"/>
        </w:rPr>
        <w:t>A limitação prevista na Cláusula 7.1 não comporta exceção, aplicando-se inclusive a multas, sanções administrativas ou condenações de qualquer natureza impostas ao Cliente por autoridade pública em razão de fatos relacionados à Plataforma.</w:t>
      </w:r>
    </w:p>
    <w:p>
      <w:pPr>
        <w:pBdr>
          <w:bottom w:val="single" w:sz="6" w:space="1" w:color="BFBFBF"/>
        </w:pBdr>
        <w:spacing w:before="40" w:after="200"/>
      </w:pPr>
    </w:p>
    <w:p>
      <w:pPr>
        <w:keepNext/>
        <w:spacing w:before="280" w:after="120"/>
        <w:ind w:firstLine="0"/>
        <w:jc w:val="left"/>
      </w:pPr>
      <w:r>
        <w:rPr>
          <w:b/>
          <w:sz w:val="22"/>
        </w:rPr>
        <w:t>8. DISPOSIÇÕES GERAIS</w:t>
      </w:r>
    </w:p>
    <w:p>
      <w:pPr>
        <w:tabs>
          <w:tab w:pos="964" w:val="left"/>
        </w:tabs>
        <w:spacing w:line="276" w:lineRule="auto" w:after="160"/>
        <w:ind w:left="964" w:hanging="964"/>
        <w:jc w:val="both"/>
      </w:pPr>
      <w:r>
        <w:t>8.1.</w:t>
      </w:r>
      <w:r>
        <w:tab/>
      </w:r>
      <w:r>
        <w:rPr>
          <w:b w:val="0"/>
        </w:rPr>
        <w:t>Este Contrato, juntamente com seus Exhibits, constitui o inteiro acordo entre as Partes quanto ao seu objeto, substituindo quaisquer entendimentos anteriores, verbais ou escritos.</w:t>
      </w:r>
    </w:p>
    <w:p>
      <w:pPr>
        <w:tabs>
          <w:tab w:pos="964" w:val="left"/>
        </w:tabs>
        <w:spacing w:line="276" w:lineRule="auto" w:after="160"/>
        <w:ind w:left="964" w:hanging="964"/>
        <w:jc w:val="both"/>
      </w:pPr>
      <w:r>
        <w:t>8.2.</w:t>
      </w:r>
      <w:r>
        <w:tab/>
      </w:r>
      <w:r>
        <w:rPr>
          <w:b w:val="0"/>
        </w:rPr>
        <w:t>Nenhuma alteração deste Contrato será válida se não constar de instrumento escrito assinado por ambas as Partes.</w:t>
      </w:r>
    </w:p>
    <w:p>
      <w:pPr>
        <w:tabs>
          <w:tab w:pos="964" w:val="left"/>
        </w:tabs>
        <w:spacing w:line="276" w:lineRule="auto" w:after="160"/>
        <w:ind w:left="964" w:hanging="964"/>
        <w:jc w:val="both"/>
      </w:pPr>
      <w:r>
        <w:t>8.3.</w:t>
      </w:r>
      <w:r>
        <w:tab/>
      </w:r>
      <w:r>
        <w:rPr>
          <w:b w:val="0"/>
        </w:rPr>
        <w:t>A tolerância de qualquer das Partes quanto ao descumprimento de qualquer obrigação não importará novação nem renúncia de direitos.</w:t>
      </w:r>
    </w:p>
    <w:p>
      <w:pPr>
        <w:tabs>
          <w:tab w:pos="964" w:val="left"/>
        </w:tabs>
        <w:spacing w:line="276" w:lineRule="auto" w:after="160"/>
        <w:ind w:left="964" w:hanging="964"/>
        <w:jc w:val="both"/>
      </w:pPr>
      <w:r>
        <w:t>8.4.</w:t>
      </w:r>
      <w:r>
        <w:tab/>
      </w:r>
      <w:r>
        <w:rPr>
          <w:b w:val="0"/>
        </w:rPr>
        <w:t>Este Contrato é regido pelas leis da República Federativa do Brasil. As Partes elegem o foro da Comarca de São Paulo, Estado de São Paulo, com renúncia a qualquer outro, por mais privilegiado que seja.</w:t>
      </w:r>
    </w:p>
    <w:p>
      <w:pPr>
        <w:spacing w:line="276" w:lineRule="auto" w:after="160"/>
        <w:ind w:firstLine="0"/>
        <w:jc w:val="both"/>
      </w:pPr>
      <w:r>
        <w:rPr>
          <w:b w:val="0"/>
        </w:rPr>
        <w:t>E, por estarem assim justas e contratadas, as Partes firmam o presente instrumento em 2 (duas) vias de igual teor e forma.</w:t>
      </w:r>
    </w:p>
    <w:p>
      <w:pPr>
        <w:spacing w:line="276" w:lineRule="auto" w:after="160"/>
        <w:ind w:firstLine="0"/>
        <w:jc w:val="both"/>
      </w:pPr>
      <w:r>
        <w:rPr>
          <w:b w:val="0"/>
        </w:rPr>
        <w:t>São Paulo, 14 de março de 2024.</w:t>
      </w:r>
    </w:p>
    <w:p>
      <w:pPr>
        <w:spacing w:before="480" w:after="0"/>
        <w:ind w:firstLine="0"/>
        <w:jc w:val="center"/>
      </w:pPr>
      <w:r>
        <w:rPr>
          <w:sz w:val="21"/>
        </w:rPr>
        <w:t>______________________________________________</w:t>
      </w:r>
    </w:p>
    <w:p>
      <w:pPr>
        <w:spacing w:after="80"/>
        <w:ind w:firstLine="0"/>
        <w:jc w:val="center"/>
      </w:pPr>
      <w:r>
        <w:rPr>
          <w:b/>
        </w:rPr>
        <w:t>NIMBUSFLOW TECNOLOGIA LTDA.</w:t>
      </w:r>
    </w:p>
    <w:p>
      <w:pPr>
        <w:spacing w:before="480" w:after="0"/>
        <w:ind w:firstLine="0"/>
        <w:jc w:val="center"/>
      </w:pPr>
      <w:r>
        <w:rPr>
          <w:sz w:val="21"/>
        </w:rPr>
        <w:t>______________________________________________</w:t>
      </w:r>
    </w:p>
    <w:p>
      <w:pPr>
        <w:spacing w:after="80"/>
        <w:ind w:firstLine="0"/>
        <w:jc w:val="center"/>
      </w:pPr>
      <w:r>
        <w:rPr>
          <w:b/>
        </w:rPr>
        <w:t>MERIDIANO ALIMENTOS S.A.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sz w:val="16"/>
      </w:rPr>
    </w:r>
    <w:r>
      <w:rPr>
        <w:sz w:val="16"/>
      </w:rPr>
      <w:fldChar w:fldCharType="begin"/>
      <w:instrText xml:space="preserve"> PAGE </w:instrText>
      <w:fldChar w:fldCharType="end"/>
    </w:r>
    <w:r>
      <w:rPr>
        <w:sz w:val="16"/>
      </w:rPr>
      <w:t xml:space="preserve"> de </w:t>
    </w:r>
    <w:r>
      <w:rPr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1" w:color="BFBFBF"/>
      </w:pBdr>
      <w:tabs>
        <w:tab w:pos="9406" w:val="right"/>
      </w:tabs>
      <w:jc w:val="left"/>
    </w:pPr>
    <w:r/>
    <w:r>
      <w:rPr>
        <w:color w:val="595959"/>
        <w:sz w:val="16"/>
      </w:rPr>
      <w:t>Contrato de Licenciamento de Software como Serviço — NimbusFlow · Meridiano</w:t>
    </w:r>
    <w:r>
      <w:rPr>
        <w:b/>
        <w:color w:val="595959"/>
        <w:sz w:val="16"/>
      </w:rPr>
      <w:tab/>
      <w:t>CONFIDENCIAL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60"/>
      <w:jc w:val="both"/>
    </w:pPr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</dc:title>
  <dc:subject/>
  <dc:creator>Documento sintetico - masterclass Fenalaw 2026</dc:creator>
  <cp:keywords/>
  <dc:description>Documento sintetico criado para a masterclass Fenalaw 2026. Nao e modelo contratual nem orientacao juridica.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