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76" w:lineRule="auto"/>
        <w:ind w:firstLine="0"/>
        <w:jc w:val="left"/>
      </w:pPr>
      <w:r>
        <w:rPr>
          <w:b/>
          <w:sz w:val="32"/>
        </w:rPr>
        <w:t>ANEXO A — ESPECIFICAÇÃO TÉCNICA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Vetor Analytics S.A. · Meridiano Alimentos S.A. · versão 1.4 · agosto de 2026</w:t>
      </w:r>
    </w:p>
    <w:p>
      <w:pPr>
        <w:keepNext/>
        <w:spacing w:before="320" w:after="80"/>
        <w:ind w:firstLine="0"/>
        <w:jc w:val="left"/>
      </w:pPr>
      <w:r>
        <w:rPr>
          <w:b/>
          <w:sz w:val="22"/>
        </w:rPr>
        <w:t>A.1. Fontes de dados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Fornecidas pela Meridiano: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cadastro de clientes do e-commerce (nome, CPF, data de nascimento, correio eletrônico, telefone, endereço);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histórico transacional de 36 meses (itens, valores, canal, frequência);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base do programa de fidelidade (pontuação, resgates, categoria do participante);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registros de navegação do site e do aplicativo, associados ao identificador do cliente.</w:t>
      </w:r>
    </w:p>
    <w:p>
      <w:pPr>
        <w:keepNext/>
        <w:spacing w:line="336" w:lineRule="auto" w:after="200" w:before="200"/>
        <w:ind w:firstLine="0"/>
        <w:jc w:val="left"/>
      </w:pPr>
      <w:r>
        <w:rPr>
          <w:b/>
        </w:rPr>
        <w:t>Fornecidas pela Vetor: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/>
        </w:rPr>
        <w:t>Base Setorial Vetor</w:t>
      </w:r>
      <w:r>
        <w:rPr>
          <w:b w:val="0"/>
        </w:rPr>
        <w:t>, painel proprietário de comportamento de consumo do setor de alimentos, construído a partir da consolidação de dados de clientes da Vetor e de fontes públicas e licenciadas;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indicadores socioeconômicos por CEP;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modelos de propensão pré-treinados da Vetor.</w:t>
      </w:r>
    </w:p>
    <w:p>
      <w:pPr>
        <w:keepNext/>
        <w:spacing w:before="320" w:after="80"/>
        <w:ind w:firstLine="0"/>
        <w:jc w:val="left"/>
      </w:pPr>
      <w:r>
        <w:rPr>
          <w:b/>
          <w:sz w:val="22"/>
        </w:rPr>
        <w:t>A.2. Fluxo de processamento</w:t>
      </w:r>
    </w:p>
    <w:p>
      <w:pPr>
        <w:spacing w:after="60" w:line="336" w:lineRule="auto"/>
        <w:ind w:left="567" w:hanging="567"/>
        <w:jc w:val="left"/>
      </w:pPr>
      <w:r>
        <w:t>1.</w:t>
        <w:tab/>
      </w:r>
      <w:r>
        <w:rPr>
          <w:b w:val="0"/>
        </w:rPr>
        <w:t>Ingestão diária da base da Meridiano por API.</w:t>
      </w:r>
    </w:p>
    <w:p>
      <w:pPr>
        <w:spacing w:after="60" w:line="336" w:lineRule="auto"/>
        <w:ind w:left="567" w:hanging="567"/>
        <w:jc w:val="left"/>
      </w:pPr>
      <w:r>
        <w:t>2.</w:t>
        <w:tab/>
      </w:r>
      <w:r>
        <w:rPr>
          <w:b w:val="0"/>
        </w:rPr>
        <w:t>Padronização e deduplicação de registros.</w:t>
      </w:r>
    </w:p>
    <w:p>
      <w:pPr>
        <w:spacing w:after="60" w:line="336" w:lineRule="auto"/>
        <w:ind w:left="567" w:hanging="567"/>
        <w:jc w:val="left"/>
      </w:pPr>
      <w:r>
        <w:t>3.</w:t>
        <w:tab/>
      </w:r>
      <w:r>
        <w:rPr>
          <w:b/>
        </w:rPr>
        <w:t>Enriquecimento</w:t>
      </w:r>
      <w:r>
        <w:rPr>
          <w:b w:val="0"/>
        </w:rPr>
        <w:t>: cruzamento dos registros da Meridiano com a Base Setorial Vetor, mediante chave determinística (CPF) e chave probabilística (nome, data de nascimento e CEP), quando a determinística falhar.</w:t>
      </w:r>
    </w:p>
    <w:p>
      <w:pPr>
        <w:spacing w:after="60" w:line="336" w:lineRule="auto"/>
        <w:ind w:left="567" w:hanging="567"/>
        <w:jc w:val="left"/>
      </w:pPr>
      <w:r>
        <w:t>4.</w:t>
        <w:tab/>
      </w:r>
      <w:r>
        <w:rPr>
          <w:b w:val="0"/>
        </w:rPr>
        <w:t>Cálculo de escores de propensão por meio dos modelos proprietários.</w:t>
      </w:r>
    </w:p>
    <w:p>
      <w:pPr>
        <w:spacing w:after="60" w:line="336" w:lineRule="auto"/>
        <w:ind w:left="567" w:hanging="567"/>
        <w:jc w:val="left"/>
      </w:pPr>
      <w:r>
        <w:t>5.</w:t>
        <w:tab/>
      </w:r>
      <w:r>
        <w:rPr>
          <w:b/>
        </w:rPr>
        <w:t>Incorporação dos registros processados à Base Setorial Vetor</w:t>
      </w:r>
      <w:r>
        <w:rPr>
          <w:b w:val="0"/>
        </w:rPr>
        <w:t>, em formato pseudonimizado, para fins de recalibragem contínua dos modelos e de composição dos painéis setoriais oferecidos pela Vetor ao mercado.</w:t>
      </w:r>
    </w:p>
    <w:p>
      <w:pPr>
        <w:spacing w:after="60" w:line="336" w:lineRule="auto"/>
        <w:ind w:left="567" w:hanging="567"/>
        <w:jc w:val="left"/>
      </w:pPr>
      <w:r>
        <w:t>6.</w:t>
        <w:tab/>
      </w:r>
      <w:r>
        <w:rPr>
          <w:b w:val="0"/>
        </w:rPr>
        <w:t>Geração e entrega dos relatórios mensais à Meridiano.</w:t>
      </w:r>
    </w:p>
    <w:p>
      <w:pPr>
        <w:keepNext/>
        <w:spacing w:before="320" w:after="80"/>
        <w:ind w:firstLine="0"/>
        <w:jc w:val="left"/>
      </w:pPr>
      <w:r>
        <w:rPr>
          <w:b/>
          <w:sz w:val="22"/>
        </w:rPr>
        <w:t>A.3. Produtos entregues mensalmente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EFEFEF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Produto</w:t>
            </w:r>
          </w:p>
        </w:tc>
        <w:tc>
          <w:tcPr>
            <w:tcW w:type="dxa" w:w="4419"/>
            <w:shd w:val="clear" w:color="auto" w:fill="EFEFEF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Segmentação comportamental</w:t>
            </w:r>
          </w:p>
        </w:tc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Clusterização da base em 9 segmentos, com perfil descritivo</w:t>
            </w:r>
          </w:p>
        </w:tc>
      </w:tr>
      <w:tr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Escore de propensão à recompra</w:t>
            </w:r>
          </w:p>
        </w:tc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Nota de 0 a 1000 por cliente, com faixa de confiança</w:t>
            </w:r>
          </w:p>
        </w:tc>
      </w:tr>
      <w:tr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Escore de risco de evasão</w:t>
            </w:r>
          </w:p>
        </w:tc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Nota de 0 a 1000 por cliente</w:t>
            </w:r>
          </w:p>
        </w:tc>
      </w:tr>
      <w:tr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Recomendação de campanha</w:t>
            </w:r>
          </w:p>
        </w:tc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Sugestão de oferta e canal por segmento</w:t>
            </w:r>
          </w:p>
        </w:tc>
      </w:tr>
      <w:tr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Benchmark setorial</w:t>
            </w:r>
          </w:p>
        </w:tc>
        <w:tc>
          <w:tcPr>
            <w:tcW w:type="dxa" w:w="4419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Posição da Meridiano frente à média do setor, calculada sobre a Base Setorial Vetor</w:t>
            </w:r>
          </w:p>
        </w:tc>
      </w:tr>
    </w:tbl>
    <w:p>
      <w:pPr>
        <w:spacing w:after="120"/>
      </w:pPr>
    </w:p>
    <w:p>
      <w:pPr>
        <w:keepNext/>
        <w:spacing w:before="320" w:after="80"/>
        <w:ind w:firstLine="0"/>
        <w:jc w:val="left"/>
      </w:pPr>
      <w:r>
        <w:rPr>
          <w:b/>
          <w:sz w:val="22"/>
        </w:rPr>
        <w:t>A.4. Retenção técnica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Dados brutos recebidos da Meridiano: mantidos em ambiente de processamento por 24 meses, para permitir recomposição de séries históricas.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Registros incorporados à Base Setorial Vetor conforme item A.2.5: mantidos por prazo indeterminado, por integrarem ativo analítico da Vetor.</w:t>
      </w:r>
    </w:p>
    <w:p>
      <w:pPr>
        <w:pStyle w:val="ListBullet"/>
        <w:spacing w:after="60" w:line="336" w:lineRule="auto"/>
        <w:ind w:left="510" w:hanging="227"/>
        <w:jc w:val="left"/>
      </w:pPr>
      <w:r>
        <w:rPr>
          <w:b w:val="0"/>
        </w:rPr>
        <w:t>Relatórios entregues: disponíveis no portal por 12 meses.</w:t>
      </w:r>
    </w:p>
    <w:p>
      <w:pPr>
        <w:keepNext/>
        <w:spacing w:before="320" w:after="80"/>
        <w:ind w:firstLine="0"/>
        <w:jc w:val="left"/>
      </w:pPr>
      <w:r>
        <w:rPr>
          <w:b/>
          <w:sz w:val="22"/>
        </w:rPr>
        <w:t>A.5. Ambiente</w:t>
      </w:r>
    </w:p>
    <w:p>
      <w:pPr>
        <w:spacing w:line="336" w:lineRule="auto" w:after="200"/>
        <w:ind w:firstLine="0"/>
        <w:jc w:val="left"/>
      </w:pPr>
      <w:r>
        <w:rPr>
          <w:b w:val="0"/>
        </w:rPr>
        <w:t>Processamento integralmente em território nacional, em nuvem contratada pela Vetor, região São Paulo. Não há transferência internacional de dados.</w:t>
      </w:r>
    </w:p>
    <w:p>
      <w:pPr>
        <w:keepNext/>
        <w:spacing w:before="320" w:after="80"/>
        <w:ind w:firstLine="0"/>
        <w:jc w:val="left"/>
      </w:pPr>
      <w:r>
        <w:rPr>
          <w:b/>
          <w:sz w:val="22"/>
        </w:rPr>
        <w:t>A.6. Melhoria contínua</w:t>
      </w:r>
    </w:p>
    <w:p>
      <w:pPr>
        <w:spacing w:line="336" w:lineRule="auto" w:after="200"/>
        <w:ind w:firstLine="0"/>
        <w:jc w:val="left"/>
      </w:pPr>
      <w:r>
        <w:rPr>
          <w:b w:val="0"/>
        </w:rPr>
        <w:t>A Vetor utiliza os dados processados no âmbito deste projeto para aprimoramento de seus modelos proprietários, o que beneficia todos os seus clientes por meio de ganhos progressivos de acurácia.</w:t>
      </w:r>
    </w:p>
    <w:sectPr w:rsidR="00FC693F" w:rsidRPr="0006063C" w:rsidSect="00034616">
      <w:footerReference w:type="default" r:id="rId9"/>
      <w:pgSz w:w="12240" w:h="15840"/>
      <w:pgMar w:top="1247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200"/>
      <w:jc w:val="left"/>
    </w:pPr>
    <w:rPr>
      <w:rFonts w:ascii="Segoe UI" w:hAnsi="Segoe UI" w:cs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anexo-a-especificacao-tecnica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