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VII – OIG &amp; QCR Alignment</w:t>
      </w:r>
    </w:p>
    <w:p>
      <w:r>
        <w:t>Date: September 05, 2025</w:t>
      </w:r>
    </w:p>
    <w:p>
      <w:r>
        <w:t>Prepared by: James Wilkinson</w:t>
      </w:r>
    </w:p>
    <w:p>
      <w:r>
        <w:t>Role: NX/PPM Supervisor – Pittsburgh VA</w:t>
      </w:r>
    </w:p>
    <w:p>
      <w:r>
        <w:t>————————————————————————————————————————</w:t>
      </w:r>
    </w:p>
    <w:p>
      <w:r>
        <w:t>OIG audits and VISN QCR reviews consistently identify the same weaknesses in NX management: lost assets, inaccurate locations, idle equipment, incomplete inventories, and unresolved Reports of Survey. The PADMD framework directly addresses each of these findings. This section maps OIG and QCR expectations to the practices embedded in our system.</w:t>
      </w:r>
    </w:p>
    <w:p>
      <w:pPr>
        <w:pStyle w:val="Heading1"/>
      </w:pPr>
      <w:r>
        <w:t>Lost or Unaccounted Assets</w:t>
      </w:r>
    </w:p>
    <w:p>
      <w:r>
        <w:t>OIG identified tens of thousands of unaccounted NX items across facilities. Our solution: assets are tagged upon receipt by Material Handling, entered into the system at acquisition, and verified annually by IMS. There is no entry into service without a tag and no exemption from inventory. Compliance is ensured by closing the loop between acquisition, deployment, and maintenance.</w:t>
      </w:r>
    </w:p>
    <w:p>
      <w:pPr>
        <w:pStyle w:val="Heading1"/>
      </w:pPr>
      <w:r>
        <w:t>Wrong or Inaccurate Locations</w:t>
      </w:r>
    </w:p>
    <w:p>
      <w:r>
        <w:t>Audits revealed nearly one-third of assets were not found at their recorded location. Our solution: IMS are solely responsible for updating location records, while COs must submit formal requests for changes. Material Handling logs custody events during moves, ensuring that every relocation is paired with a data entry. Silent moves are eliminated.</w:t>
      </w:r>
    </w:p>
    <w:p>
      <w:pPr>
        <w:pStyle w:val="Heading1"/>
      </w:pPr>
      <w:r>
        <w:t>Idle or Unused Assets</w:t>
      </w:r>
    </w:p>
    <w:p>
      <w:r>
        <w:t>QCR highlighted excessive idle and unused equipment. Our solution: Planning ties every acquisition to SEPG, preventing purchases without identified custodians. Disposition processes require shops to provide Bills of Health before posting to Excess, ensuring reuse decisions are based on verified condition. Idle assets are flagged for transfer, reuse, or disposal.</w:t>
      </w:r>
    </w:p>
    <w:p>
      <w:pPr>
        <w:pStyle w:val="Heading1"/>
      </w:pPr>
      <w:r>
        <w:t>Inventory by Exception Loopholes</w:t>
      </w:r>
    </w:p>
    <w:p>
      <w:r>
        <w:t>Historically, facilities used exceptions and maintenance records to avoid annual inventory checks. Our solution: every item is inventoried annually without exception. Any EIL falling below 95% accuracy triggers a mandatory re-check within six months. Compliance is enforced as part of the Maintenance stage.</w:t>
      </w:r>
    </w:p>
    <w:p>
      <w:pPr>
        <w:pStyle w:val="Heading1"/>
      </w:pPr>
      <w:r>
        <w:t>Reports of Survey (ROS)</w:t>
      </w:r>
    </w:p>
    <w:p>
      <w:r>
        <w:t>OIG reported unresolved or missing ROS cases valued in the millions. Our solution: ROS are managed as structured workflows with initiation, approval, and closure steps. Cases must close within 60 days, and dashboards provide per-IMS visibility into active cases until completion.</w:t>
      </w:r>
    </w:p>
    <w:p>
      <w:pPr>
        <w:pStyle w:val="Heading1"/>
      </w:pPr>
      <w:r>
        <w:t>Leadership Oversight</w:t>
      </w:r>
    </w:p>
    <w:p>
      <w:r>
        <w:t>Audits consistently find directors and accountable officers deferring responsibility. Our solution: governance enforces quarterly reviews, annual leadership reviews, and live metrics. Facility Directors and AOs cannot defer oversight because compliance metrics are surfaced directly, and inaction is visible to auditors.</w:t>
      </w:r>
    </w:p>
    <w:p>
      <w:r>
        <w:t>————————————————————————————————————————</w:t>
      </w:r>
    </w:p>
    <w:p>
      <w:r>
        <w:t>Every OIG and QCR gap is tied directly to a PADMD practice. This is not theory — it is control by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