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15A1" w:rsidRDefault="00000000">
      <w:pPr>
        <w:spacing w:after="80"/>
        <w:jc w:val="center"/>
      </w:pPr>
      <w:r>
        <w:rPr>
          <w:b/>
          <w:color w:val="17112E"/>
          <w:sz w:val="36"/>
        </w:rPr>
        <w:t>Proposition de plan détaillé</w:t>
      </w:r>
    </w:p>
    <w:p w:rsidR="00C115A1" w:rsidRDefault="00000000">
      <w:pPr>
        <w:spacing w:after="480"/>
        <w:jc w:val="center"/>
      </w:pPr>
      <w:r>
        <w:rPr>
          <w:i/>
          <w:color w:val="666666"/>
          <w:sz w:val="26"/>
        </w:rPr>
        <w:t>Rapport d'intervention — MBA Management de projet</w:t>
      </w:r>
    </w:p>
    <w:p w:rsidR="00C115A1" w:rsidRDefault="00000000">
      <w:pPr>
        <w:spacing w:after="600"/>
        <w:jc w:val="center"/>
      </w:pPr>
      <w:r>
        <w:rPr>
          <w:b/>
          <w:sz w:val="26"/>
        </w:rPr>
        <w:t>« Transformation digitale des ateliers de couture au Sénégal : conception, conduite de projet et déploiement d'une solution SaaS multi-tenant, cas de Kayñiawlu »</w:t>
      </w:r>
    </w:p>
    <w:p w:rsidR="00C115A1" w:rsidRDefault="00000000">
      <w:pPr>
        <w:jc w:val="center"/>
      </w:pPr>
      <w:r>
        <w:rPr>
          <w:b/>
        </w:rPr>
        <w:t xml:space="preserve">Candidat : </w:t>
      </w:r>
      <w:r>
        <w:t>Jacques Dembi</w:t>
      </w:r>
    </w:p>
    <w:p w:rsidR="00C115A1" w:rsidRDefault="00000000">
      <w:pPr>
        <w:jc w:val="center"/>
      </w:pPr>
      <w:r>
        <w:rPr>
          <w:b/>
        </w:rPr>
        <w:t xml:space="preserve">Encadreur : </w:t>
      </w:r>
      <w:r>
        <w:t>Dr Moctar Diattara</w:t>
      </w:r>
    </w:p>
    <w:p w:rsidR="00C115A1" w:rsidRDefault="00000000">
      <w:r>
        <w:br w:type="page"/>
      </w:r>
    </w:p>
    <w:p w:rsidR="00C115A1" w:rsidRDefault="00000000">
      <w:pPr>
        <w:keepNext/>
        <w:spacing w:before="360" w:after="200"/>
      </w:pPr>
      <w:r>
        <w:rPr>
          <w:b/>
          <w:color w:val="17112E"/>
          <w:sz w:val="30"/>
        </w:rPr>
        <w:lastRenderedPageBreak/>
        <w:t>Introduction générale</w:t>
      </w:r>
    </w:p>
    <w:p w:rsidR="00C115A1" w:rsidRDefault="00000000">
      <w:pPr>
        <w:spacing w:after="40"/>
        <w:ind w:left="283"/>
      </w:pPr>
      <w:r>
        <w:rPr>
          <w:b/>
        </w:rPr>
        <w:t xml:space="preserve">•  </w:t>
      </w:r>
      <w:r>
        <w:t>Cadre du rapport (MBA Management de projet, statut d'intervention personnelle sur le projet).</w:t>
      </w:r>
    </w:p>
    <w:p w:rsidR="00C115A1" w:rsidRDefault="00000000">
      <w:pPr>
        <w:spacing w:after="40"/>
        <w:ind w:left="283"/>
      </w:pPr>
      <w:r>
        <w:rPr>
          <w:b/>
        </w:rPr>
        <w:t xml:space="preserve">•  </w:t>
      </w:r>
      <w:r>
        <w:t>Présentation de l'auteur et de sa légitimité sur le sujet (rôle de concepteur et porteur du projet).</w:t>
      </w:r>
    </w:p>
    <w:p w:rsidR="00C115A1" w:rsidRDefault="00000000">
      <w:pPr>
        <w:spacing w:after="40"/>
        <w:ind w:left="283"/>
      </w:pPr>
      <w:r>
        <w:rPr>
          <w:b/>
        </w:rPr>
        <w:t xml:space="preserve">•  </w:t>
      </w:r>
      <w:r>
        <w:t>Annonce du plan.</w:t>
      </w:r>
    </w:p>
    <w:p w:rsidR="00C115A1" w:rsidRDefault="00000000">
      <w:pPr>
        <w:spacing w:before="160" w:after="160"/>
        <w:jc w:val="center"/>
      </w:pPr>
      <w:r>
        <w:rPr>
          <w:color w:val="999999"/>
          <w:sz w:val="20"/>
        </w:rPr>
        <w:t>————————————————————————————————————————</w:t>
      </w:r>
    </w:p>
    <w:p w:rsidR="00C115A1" w:rsidRDefault="00000000">
      <w:pPr>
        <w:keepNext/>
        <w:spacing w:before="360" w:after="200"/>
      </w:pPr>
      <w:r>
        <w:rPr>
          <w:b/>
          <w:color w:val="17112E"/>
          <w:sz w:val="30"/>
        </w:rPr>
        <w:t>Partie 1 — Cadre général du projet</w:t>
      </w:r>
    </w:p>
    <w:p w:rsidR="00C115A1" w:rsidRDefault="00000000">
      <w:pPr>
        <w:keepNext/>
        <w:spacing w:before="240" w:after="80"/>
      </w:pPr>
      <w:r>
        <w:rPr>
          <w:b/>
          <w:color w:val="2E7D5B"/>
          <w:sz w:val="25"/>
        </w:rPr>
        <w:t>Chapitre 1 — Contexte et problématique</w:t>
      </w:r>
    </w:p>
    <w:p w:rsidR="00C115A1" w:rsidRDefault="00000000">
      <w:pPr>
        <w:spacing w:after="40"/>
        <w:ind w:left="283"/>
      </w:pPr>
      <w:r>
        <w:rPr>
          <w:b/>
        </w:rPr>
        <w:t xml:space="preserve">1.1  </w:t>
      </w:r>
      <w:r>
        <w:t>Le secteur de la couture au Sénégal : poids économique, informalité, enjeux.</w:t>
      </w:r>
    </w:p>
    <w:p w:rsidR="00C115A1" w:rsidRDefault="00000000">
      <w:pPr>
        <w:spacing w:after="40"/>
        <w:ind w:left="283"/>
      </w:pPr>
      <w:r>
        <w:rPr>
          <w:b/>
        </w:rPr>
        <w:t xml:space="preserve">1.2  </w:t>
      </w:r>
      <w:r>
        <w:t>Cas d'étude : l'Atelier Kalmy's et son processus de gestion actuel.</w:t>
      </w:r>
    </w:p>
    <w:p w:rsidR="00C115A1" w:rsidRDefault="00000000">
      <w:pPr>
        <w:spacing w:after="40"/>
        <w:ind w:left="283"/>
      </w:pPr>
      <w:r>
        <w:rPr>
          <w:b/>
        </w:rPr>
        <w:t xml:space="preserve">1.3  </w:t>
      </w:r>
      <w:r>
        <w:t>Diagnostic du processus existant (activités, acteurs, difficultés — modélisation BPMN).</w:t>
      </w:r>
    </w:p>
    <w:p w:rsidR="00C115A1" w:rsidRDefault="00000000">
      <w:pPr>
        <w:spacing w:after="40"/>
        <w:ind w:left="283"/>
      </w:pPr>
      <w:r>
        <w:rPr>
          <w:b/>
        </w:rPr>
        <w:t xml:space="preserve">1.4 </w:t>
      </w:r>
      <w:r>
        <w:t>Problématique managériale : comment conduire la transformation digitale d'un secteur informel via une solution SaaS ?</w:t>
      </w:r>
    </w:p>
    <w:p w:rsidR="00C115A1" w:rsidRDefault="00000000">
      <w:pPr>
        <w:spacing w:after="40"/>
        <w:ind w:left="283"/>
      </w:pPr>
      <w:r>
        <w:rPr>
          <w:b/>
        </w:rPr>
        <w:t xml:space="preserve">1.5  </w:t>
      </w:r>
      <w:r>
        <w:t>Enjeux économiques, sociaux et technologiques du projet.</w:t>
      </w:r>
    </w:p>
    <w:p w:rsidR="00C115A1" w:rsidRDefault="00000000">
      <w:pPr>
        <w:keepNext/>
        <w:spacing w:before="240" w:after="80"/>
      </w:pPr>
      <w:r>
        <w:rPr>
          <w:b/>
          <w:color w:val="2E7D5B"/>
          <w:sz w:val="25"/>
        </w:rPr>
        <w:t>Chapitre 2 — Analyse des besoins</w:t>
      </w:r>
    </w:p>
    <w:p w:rsidR="00C115A1" w:rsidRDefault="00000000">
      <w:pPr>
        <w:spacing w:after="40"/>
        <w:ind w:left="283"/>
      </w:pPr>
      <w:r>
        <w:rPr>
          <w:b/>
        </w:rPr>
        <w:t xml:space="preserve">2.1  </w:t>
      </w:r>
      <w:r>
        <w:t>Méthodologie de recueil du besoin (observation terrain, entretiens).</w:t>
      </w:r>
    </w:p>
    <w:p w:rsidR="00C115A1" w:rsidRDefault="00000000">
      <w:pPr>
        <w:spacing w:after="40"/>
        <w:ind w:left="283"/>
      </w:pPr>
      <w:r>
        <w:rPr>
          <w:b/>
        </w:rPr>
        <w:t xml:space="preserve">2.2  </w:t>
      </w:r>
      <w:r>
        <w:t>Besoins par acteur (propriétaire, employé, client final).</w:t>
      </w:r>
    </w:p>
    <w:p w:rsidR="00C115A1" w:rsidRDefault="00000000">
      <w:pPr>
        <w:spacing w:after="40"/>
        <w:ind w:left="283"/>
      </w:pPr>
      <w:r>
        <w:rPr>
          <w:b/>
        </w:rPr>
        <w:t xml:space="preserve">2.3  </w:t>
      </w:r>
      <w:r>
        <w:t>Contraintes de contexte (connectivité, coût, maturité numérique des utilisateurs).</w:t>
      </w:r>
    </w:p>
    <w:p w:rsidR="00C115A1" w:rsidRDefault="00000000">
      <w:pPr>
        <w:spacing w:after="40"/>
        <w:ind w:left="283"/>
      </w:pPr>
      <w:r>
        <w:rPr>
          <w:b/>
        </w:rPr>
        <w:t xml:space="preserve">2.4  </w:t>
      </w:r>
      <w:r>
        <w:t>Benchmark des solutions existantes.</w:t>
      </w:r>
    </w:p>
    <w:p w:rsidR="00C115A1" w:rsidRDefault="00000000">
      <w:pPr>
        <w:spacing w:after="200"/>
        <w:ind w:left="283"/>
      </w:pPr>
      <w:r>
        <w:rPr>
          <w:i/>
          <w:color w:val="666666"/>
          <w:sz w:val="20"/>
        </w:rPr>
        <w:t>Réutilisable depuis le chapitre 2 du mémoire M2GL.</w:t>
      </w:r>
    </w:p>
    <w:p w:rsidR="00C115A1" w:rsidRDefault="00000000">
      <w:pPr>
        <w:spacing w:after="40"/>
        <w:ind w:left="283"/>
      </w:pPr>
      <w:r>
        <w:rPr>
          <w:b/>
        </w:rPr>
        <w:t xml:space="preserve">2.5  </w:t>
      </w:r>
      <w:r>
        <w:t>Positionnement différenciant de Kayñiawlu.</w:t>
      </w:r>
    </w:p>
    <w:p w:rsidR="00C115A1" w:rsidRDefault="00000000">
      <w:pPr>
        <w:spacing w:before="160" w:after="160"/>
        <w:jc w:val="center"/>
      </w:pPr>
      <w:r>
        <w:rPr>
          <w:color w:val="999999"/>
          <w:sz w:val="20"/>
        </w:rPr>
        <w:t>————————————————————————————————————————</w:t>
      </w:r>
    </w:p>
    <w:p w:rsidR="00C115A1" w:rsidRDefault="00000000">
      <w:pPr>
        <w:keepNext/>
        <w:spacing w:before="360" w:after="200"/>
      </w:pPr>
      <w:r>
        <w:rPr>
          <w:b/>
          <w:color w:val="17112E"/>
          <w:sz w:val="30"/>
        </w:rPr>
        <w:t>Partie 2 — Cadrage et conception du projet</w:t>
      </w:r>
    </w:p>
    <w:p w:rsidR="00C115A1" w:rsidRDefault="00000000">
      <w:pPr>
        <w:keepNext/>
        <w:spacing w:before="240" w:after="80"/>
      </w:pPr>
      <w:r>
        <w:rPr>
          <w:b/>
          <w:color w:val="2E7D5B"/>
          <w:sz w:val="25"/>
        </w:rPr>
        <w:t>Chapitre 3 — Cadrage du projet</w:t>
      </w:r>
    </w:p>
    <w:p w:rsidR="00C115A1" w:rsidRDefault="00000000">
      <w:pPr>
        <w:spacing w:after="40"/>
        <w:ind w:left="283"/>
      </w:pPr>
      <w:r>
        <w:rPr>
          <w:b/>
        </w:rPr>
        <w:t xml:space="preserve">3.1  </w:t>
      </w:r>
      <w:r>
        <w:t>Objectifs stratégiques et fonctionnels du projet.</w:t>
      </w:r>
    </w:p>
    <w:p w:rsidR="00C115A1" w:rsidRDefault="00000000">
      <w:pPr>
        <w:spacing w:after="40"/>
        <w:ind w:left="283"/>
      </w:pPr>
      <w:r>
        <w:rPr>
          <w:b/>
        </w:rPr>
        <w:t xml:space="preserve">3.2  </w:t>
      </w:r>
      <w:r>
        <w:t>Périmètre du projet (in/out scope), livrables attendus.</w:t>
      </w:r>
    </w:p>
    <w:p w:rsidR="00C115A1" w:rsidRDefault="00000000">
      <w:pPr>
        <w:spacing w:after="40"/>
        <w:ind w:left="283"/>
      </w:pPr>
      <w:r>
        <w:rPr>
          <w:b/>
        </w:rPr>
        <w:t xml:space="preserve">3.3  </w:t>
      </w:r>
      <w:r>
        <w:t>Parties prenantes et gouvernance (matrice RACI).</w:t>
      </w:r>
    </w:p>
    <w:p w:rsidR="00C115A1" w:rsidRDefault="00000000">
      <w:pPr>
        <w:spacing w:after="40"/>
        <w:ind w:left="283"/>
      </w:pPr>
      <w:r>
        <w:rPr>
          <w:b/>
        </w:rPr>
        <w:t xml:space="preserve">3.4  </w:t>
      </w:r>
      <w:r>
        <w:t>Roadmap produit et jalons.</w:t>
      </w:r>
    </w:p>
    <w:p w:rsidR="00C115A1" w:rsidRDefault="00000000">
      <w:pPr>
        <w:spacing w:after="40"/>
        <w:ind w:left="283"/>
      </w:pPr>
      <w:r>
        <w:rPr>
          <w:b/>
        </w:rPr>
        <w:t xml:space="preserve">3.5  </w:t>
      </w:r>
      <w:r>
        <w:t>Ressources mobilisées (humaines, techniques, budgétaires).</w:t>
      </w:r>
    </w:p>
    <w:p w:rsidR="00C115A1" w:rsidRDefault="00000000">
      <w:pPr>
        <w:keepNext/>
        <w:spacing w:before="240" w:after="80"/>
      </w:pPr>
      <w:r>
        <w:rPr>
          <w:b/>
          <w:color w:val="2E7D5B"/>
          <w:sz w:val="25"/>
        </w:rPr>
        <w:t>Chapitre 4 — Conception fonctionnelle et architecture de la solution</w:t>
      </w:r>
    </w:p>
    <w:p w:rsidR="00C115A1" w:rsidRDefault="00000000">
      <w:pPr>
        <w:spacing w:after="40"/>
        <w:ind w:left="283"/>
      </w:pPr>
      <w:r>
        <w:rPr>
          <w:b/>
        </w:rPr>
        <w:t xml:space="preserve">4.1  </w:t>
      </w:r>
      <w:r>
        <w:t>Conception fonctionnelle : acteurs, cas d'usage, parcours utilisateur.</w:t>
      </w:r>
    </w:p>
    <w:p w:rsidR="00C115A1" w:rsidRDefault="00000000">
      <w:pPr>
        <w:spacing w:after="200"/>
        <w:ind w:left="283"/>
      </w:pPr>
      <w:r>
        <w:rPr>
          <w:i/>
          <w:color w:val="666666"/>
          <w:sz w:val="20"/>
        </w:rPr>
        <w:lastRenderedPageBreak/>
        <w:t>Réutilisable depuis le chapitre 3 du mémoire M2GL.</w:t>
      </w:r>
    </w:p>
    <w:p w:rsidR="00C115A1" w:rsidRDefault="00000000">
      <w:pPr>
        <w:spacing w:after="40"/>
        <w:ind w:left="283"/>
      </w:pPr>
      <w:r>
        <w:rPr>
          <w:b/>
        </w:rPr>
        <w:t xml:space="preserve">4.2  </w:t>
      </w:r>
      <w:r>
        <w:t>Modèle de données et architecture multi-tenant.</w:t>
      </w:r>
    </w:p>
    <w:p w:rsidR="00C115A1" w:rsidRDefault="00000000">
      <w:pPr>
        <w:spacing w:after="40"/>
        <w:ind w:left="283"/>
      </w:pPr>
      <w:r>
        <w:rPr>
          <w:b/>
        </w:rPr>
        <w:t xml:space="preserve">4.3  </w:t>
      </w:r>
      <w:r>
        <w:t>Choix techniques et justifications (Laravel/GraphQL, Flutter, Next.js).</w:t>
      </w:r>
    </w:p>
    <w:p w:rsidR="00C115A1" w:rsidRDefault="00000000">
      <w:pPr>
        <w:spacing w:after="40"/>
        <w:ind w:left="283"/>
      </w:pPr>
      <w:r>
        <w:rPr>
          <w:b/>
        </w:rPr>
        <w:t xml:space="preserve">4.4  </w:t>
      </w:r>
      <w:r>
        <w:t>Contraintes de qualité (sécurité, mode hors-ligne, scalabilité).</w:t>
      </w:r>
    </w:p>
    <w:p w:rsidR="00C115A1" w:rsidRDefault="00000000">
      <w:pPr>
        <w:spacing w:before="160" w:after="160"/>
        <w:jc w:val="center"/>
      </w:pPr>
      <w:r>
        <w:rPr>
          <w:color w:val="999999"/>
          <w:sz w:val="20"/>
        </w:rPr>
        <w:t>————————————————————————————————————————</w:t>
      </w:r>
    </w:p>
    <w:p w:rsidR="00C115A1" w:rsidRDefault="00000000">
      <w:pPr>
        <w:keepNext/>
        <w:spacing w:before="360" w:after="200"/>
      </w:pPr>
      <w:r>
        <w:rPr>
          <w:b/>
          <w:color w:val="17112E"/>
          <w:sz w:val="30"/>
        </w:rPr>
        <w:t>Partie 3 — Conduite et pilotage du projet</w:t>
      </w:r>
    </w:p>
    <w:p w:rsidR="00C115A1" w:rsidRDefault="00000000">
      <w:pPr>
        <w:spacing w:after="200"/>
        <w:ind w:left="283"/>
      </w:pPr>
      <w:r>
        <w:rPr>
          <w:i/>
          <w:color w:val="666666"/>
          <w:sz w:val="20"/>
        </w:rPr>
        <w:t>Volet le plus « MBA » du rapport : à développer en priorité, avec le plus d'analyse originale.</w:t>
      </w:r>
    </w:p>
    <w:p w:rsidR="00C115A1" w:rsidRDefault="00000000">
      <w:pPr>
        <w:keepNext/>
        <w:spacing w:before="240" w:after="80"/>
      </w:pPr>
      <w:r>
        <w:rPr>
          <w:b/>
          <w:color w:val="2E7D5B"/>
          <w:sz w:val="25"/>
        </w:rPr>
        <w:t>Chapitre 5 — Gouvernance du projet</w:t>
      </w:r>
    </w:p>
    <w:p w:rsidR="00C115A1" w:rsidRDefault="00000000">
      <w:pPr>
        <w:spacing w:after="40"/>
        <w:ind w:left="283"/>
      </w:pPr>
      <w:r>
        <w:rPr>
          <w:b/>
        </w:rPr>
        <w:t xml:space="preserve">5.1  </w:t>
      </w:r>
      <w:r>
        <w:t>Organisation et rôles (porteur de projet, développeur, éventuels partenaires).</w:t>
      </w:r>
    </w:p>
    <w:p w:rsidR="00C115A1" w:rsidRDefault="00000000">
      <w:pPr>
        <w:spacing w:after="40"/>
        <w:ind w:left="283"/>
      </w:pPr>
      <w:r>
        <w:rPr>
          <w:b/>
        </w:rPr>
        <w:t xml:space="preserve">5.2  </w:t>
      </w:r>
      <w:r>
        <w:t>Méthodologie de gestion de projet adoptée (agilité, cycle de vie du produit).</w:t>
      </w:r>
    </w:p>
    <w:p w:rsidR="00C115A1" w:rsidRDefault="00000000">
      <w:pPr>
        <w:spacing w:after="40"/>
        <w:ind w:left="283"/>
      </w:pPr>
      <w:r>
        <w:rPr>
          <w:b/>
        </w:rPr>
        <w:t xml:space="preserve">5.3  </w:t>
      </w:r>
      <w:r>
        <w:t>Outils de pilotage et de suivi d'avancement.</w:t>
      </w:r>
    </w:p>
    <w:p w:rsidR="00C115A1" w:rsidRDefault="00000000">
      <w:pPr>
        <w:spacing w:after="40"/>
        <w:ind w:left="283"/>
      </w:pPr>
      <w:r>
        <w:rPr>
          <w:b/>
        </w:rPr>
        <w:t xml:space="preserve">5.4  </w:t>
      </w:r>
      <w:r>
        <w:t>Pilotage de la qualité (tests, revues).</w:t>
      </w:r>
    </w:p>
    <w:p w:rsidR="00C115A1" w:rsidRDefault="00000000">
      <w:pPr>
        <w:keepNext/>
        <w:spacing w:before="240" w:after="80"/>
      </w:pPr>
      <w:r>
        <w:rPr>
          <w:b/>
          <w:color w:val="2E7D5B"/>
          <w:sz w:val="25"/>
        </w:rPr>
        <w:t>Chapitre 6 — Modèle économique</w:t>
      </w:r>
    </w:p>
    <w:p w:rsidR="00C115A1" w:rsidRDefault="00000000">
      <w:pPr>
        <w:spacing w:after="40"/>
        <w:ind w:left="283"/>
      </w:pPr>
      <w:r>
        <w:rPr>
          <w:b/>
        </w:rPr>
        <w:t xml:space="preserve">6.1  </w:t>
      </w:r>
      <w:r>
        <w:t>Analyse de marché et segments cibles.</w:t>
      </w:r>
    </w:p>
    <w:p w:rsidR="00C115A1" w:rsidRDefault="00000000">
      <w:pPr>
        <w:spacing w:after="40"/>
        <w:ind w:left="283"/>
      </w:pPr>
      <w:r>
        <w:rPr>
          <w:b/>
        </w:rPr>
        <w:t xml:space="preserve">6.2  </w:t>
      </w:r>
      <w:r>
        <w:t>Modèle de revenus SaaS (plans gratuit / pro / entreprise).</w:t>
      </w:r>
    </w:p>
    <w:p w:rsidR="00C115A1" w:rsidRDefault="00000000">
      <w:pPr>
        <w:spacing w:after="40"/>
        <w:ind w:left="283"/>
      </w:pPr>
      <w:r>
        <w:rPr>
          <w:b/>
        </w:rPr>
        <w:t xml:space="preserve">6.3  </w:t>
      </w:r>
      <w:r>
        <w:t>Structure de coûts et hypothèses de rentabilité.</w:t>
      </w:r>
    </w:p>
    <w:p w:rsidR="00C115A1" w:rsidRDefault="00000000">
      <w:pPr>
        <w:spacing w:after="40"/>
        <w:ind w:left="283"/>
      </w:pPr>
      <w:r>
        <w:rPr>
          <w:b/>
        </w:rPr>
        <w:t xml:space="preserve">6.4  </w:t>
      </w:r>
      <w:r>
        <w:t>Stratégie d'acquisition et de croissance.</w:t>
      </w:r>
    </w:p>
    <w:p w:rsidR="00C115A1" w:rsidRDefault="00000000">
      <w:pPr>
        <w:keepNext/>
        <w:spacing w:before="240" w:after="80"/>
      </w:pPr>
      <w:r>
        <w:rPr>
          <w:b/>
          <w:color w:val="2E7D5B"/>
          <w:sz w:val="25"/>
        </w:rPr>
        <w:t>Chapitre 7 — Gestion des risques</w:t>
      </w:r>
    </w:p>
    <w:p w:rsidR="00C115A1" w:rsidRDefault="00000000">
      <w:pPr>
        <w:spacing w:after="40"/>
        <w:ind w:left="283"/>
      </w:pPr>
      <w:r>
        <w:rPr>
          <w:b/>
        </w:rPr>
        <w:t xml:space="preserve">7.1  </w:t>
      </w:r>
      <w:r>
        <w:t>Identification des risques (techniques, marché, adoption, financiers).</w:t>
      </w:r>
    </w:p>
    <w:p w:rsidR="00C115A1" w:rsidRDefault="00000000">
      <w:pPr>
        <w:spacing w:after="40"/>
        <w:ind w:left="283"/>
      </w:pPr>
      <w:r>
        <w:rPr>
          <w:b/>
        </w:rPr>
        <w:t xml:space="preserve">7.2  </w:t>
      </w:r>
      <w:r>
        <w:t>Matrice probabilité / impact.</w:t>
      </w:r>
    </w:p>
    <w:p w:rsidR="00C115A1" w:rsidRDefault="00000000">
      <w:pPr>
        <w:spacing w:after="40"/>
        <w:ind w:left="283"/>
      </w:pPr>
      <w:r>
        <w:rPr>
          <w:b/>
        </w:rPr>
        <w:t xml:space="preserve">7.3  </w:t>
      </w:r>
      <w:r>
        <w:t>Plans de mitigation.</w:t>
      </w:r>
    </w:p>
    <w:p w:rsidR="00C115A1" w:rsidRDefault="00000000">
      <w:pPr>
        <w:spacing w:after="40"/>
        <w:ind w:left="283"/>
      </w:pPr>
      <w:r>
        <w:rPr>
          <w:b/>
        </w:rPr>
        <w:t xml:space="preserve">7.4  </w:t>
      </w:r>
      <w:r>
        <w:t>Suivi des risques en cours de projet.</w:t>
      </w:r>
    </w:p>
    <w:p w:rsidR="00C115A1" w:rsidRDefault="00000000">
      <w:pPr>
        <w:spacing w:before="160" w:after="160"/>
        <w:jc w:val="center"/>
      </w:pPr>
      <w:r>
        <w:rPr>
          <w:color w:val="999999"/>
          <w:sz w:val="20"/>
        </w:rPr>
        <w:t>————————————————————————————————————————</w:t>
      </w:r>
    </w:p>
    <w:p w:rsidR="00C115A1" w:rsidRDefault="00000000">
      <w:pPr>
        <w:keepNext/>
        <w:spacing w:before="360" w:after="200"/>
      </w:pPr>
      <w:r>
        <w:rPr>
          <w:b/>
          <w:color w:val="17112E"/>
          <w:sz w:val="30"/>
        </w:rPr>
        <w:t>Partie 4 — Déploiement et transformation</w:t>
      </w:r>
    </w:p>
    <w:p w:rsidR="00C115A1" w:rsidRDefault="00000000">
      <w:pPr>
        <w:keepNext/>
        <w:spacing w:before="240" w:after="80"/>
      </w:pPr>
      <w:r>
        <w:rPr>
          <w:b/>
          <w:color w:val="2E7D5B"/>
          <w:sz w:val="25"/>
        </w:rPr>
        <w:t>Chapitre 8 — Stratégie de déploiement</w:t>
      </w:r>
    </w:p>
    <w:p w:rsidR="00C115A1" w:rsidRDefault="00000000">
      <w:pPr>
        <w:spacing w:after="40"/>
        <w:ind w:left="283"/>
      </w:pPr>
      <w:r>
        <w:rPr>
          <w:b/>
        </w:rPr>
        <w:t xml:space="preserve">8.1  </w:t>
      </w:r>
      <w:r>
        <w:t>Infrastructure et environnement (Docker, hébergement cible).</w:t>
      </w:r>
    </w:p>
    <w:p w:rsidR="00C115A1" w:rsidRDefault="00000000">
      <w:pPr>
        <w:spacing w:after="40"/>
        <w:ind w:left="283"/>
      </w:pPr>
      <w:r>
        <w:rPr>
          <w:b/>
        </w:rPr>
        <w:t xml:space="preserve">8.2  </w:t>
      </w:r>
      <w:r>
        <w:t>Déploiement progressif (pilote → généralisation).</w:t>
      </w:r>
    </w:p>
    <w:p w:rsidR="00C115A1" w:rsidRDefault="00000000">
      <w:pPr>
        <w:spacing w:after="40"/>
        <w:ind w:left="283"/>
      </w:pPr>
      <w:r>
        <w:rPr>
          <w:b/>
        </w:rPr>
        <w:t xml:space="preserve">8.3  </w:t>
      </w:r>
      <w:r>
        <w:t>Stratégie go-to-market (canaux, partenariats avec associations de couturiers).</w:t>
      </w:r>
    </w:p>
    <w:p w:rsidR="00C115A1" w:rsidRDefault="00000000">
      <w:pPr>
        <w:spacing w:after="40"/>
        <w:ind w:left="283"/>
      </w:pPr>
      <w:r>
        <w:rPr>
          <w:b/>
        </w:rPr>
        <w:t xml:space="preserve">8.4  </w:t>
      </w:r>
      <w:r>
        <w:t>Indicateurs de succès (KPI produit et business).</w:t>
      </w:r>
    </w:p>
    <w:p w:rsidR="00C115A1" w:rsidRDefault="00000000">
      <w:pPr>
        <w:keepNext/>
        <w:spacing w:before="240" w:after="80"/>
      </w:pPr>
      <w:r>
        <w:rPr>
          <w:b/>
          <w:color w:val="2E7D5B"/>
          <w:sz w:val="25"/>
        </w:rPr>
        <w:lastRenderedPageBreak/>
        <w:t>Chapitre 9 — Conduite du changement</w:t>
      </w:r>
    </w:p>
    <w:p w:rsidR="00C115A1" w:rsidRDefault="00000000">
      <w:pPr>
        <w:spacing w:after="40"/>
        <w:ind w:left="283"/>
      </w:pPr>
      <w:r>
        <w:rPr>
          <w:b/>
        </w:rPr>
        <w:t xml:space="preserve">9.1  </w:t>
      </w:r>
      <w:r>
        <w:t>Résistance au changement dans un secteur informel : diagnostic.</w:t>
      </w:r>
    </w:p>
    <w:p w:rsidR="00C115A1" w:rsidRDefault="00000000">
      <w:pPr>
        <w:spacing w:after="40"/>
        <w:ind w:left="283"/>
      </w:pPr>
      <w:r>
        <w:rPr>
          <w:b/>
        </w:rPr>
        <w:t xml:space="preserve">9.2  </w:t>
      </w:r>
      <w:r>
        <w:t>Stratégie d'accompagnement (formation, communication, ambassadeurs terrain).</w:t>
      </w:r>
    </w:p>
    <w:p w:rsidR="00C115A1" w:rsidRDefault="00000000">
      <w:pPr>
        <w:spacing w:after="40"/>
        <w:ind w:left="283"/>
      </w:pPr>
      <w:r>
        <w:rPr>
          <w:b/>
        </w:rPr>
        <w:t xml:space="preserve">9.3  </w:t>
      </w:r>
      <w:r>
        <w:t>Retours d'adoption utilisateur.</w:t>
      </w:r>
    </w:p>
    <w:p w:rsidR="00C115A1" w:rsidRDefault="00000000">
      <w:pPr>
        <w:spacing w:after="40"/>
        <w:ind w:left="283"/>
      </w:pPr>
      <w:r>
        <w:rPr>
          <w:b/>
        </w:rPr>
        <w:t xml:space="preserve">9.4  </w:t>
      </w:r>
      <w:r>
        <w:t>Facteurs clés de succès de l'adoption.</w:t>
      </w:r>
    </w:p>
    <w:p w:rsidR="00C115A1" w:rsidRDefault="00000000">
      <w:pPr>
        <w:spacing w:before="160" w:after="160"/>
        <w:jc w:val="center"/>
      </w:pPr>
      <w:r>
        <w:rPr>
          <w:color w:val="999999"/>
          <w:sz w:val="20"/>
        </w:rPr>
        <w:t>————————————————————————————————————————</w:t>
      </w:r>
    </w:p>
    <w:p w:rsidR="00C115A1" w:rsidRDefault="00000000">
      <w:pPr>
        <w:keepNext/>
        <w:spacing w:before="360" w:after="200"/>
      </w:pPr>
      <w:r>
        <w:rPr>
          <w:b/>
          <w:color w:val="17112E"/>
          <w:sz w:val="30"/>
        </w:rPr>
        <w:t>Partie 5 — Bilan</w:t>
      </w:r>
    </w:p>
    <w:p w:rsidR="00C115A1" w:rsidRDefault="00000000">
      <w:pPr>
        <w:keepNext/>
        <w:spacing w:before="240" w:after="80"/>
      </w:pPr>
      <w:r>
        <w:rPr>
          <w:b/>
          <w:color w:val="2E7D5B"/>
          <w:sz w:val="25"/>
        </w:rPr>
        <w:t>Chapitre 10 — Enseignements et recommandations</w:t>
      </w:r>
    </w:p>
    <w:p w:rsidR="00C115A1" w:rsidRDefault="00000000">
      <w:pPr>
        <w:spacing w:after="40"/>
        <w:ind w:left="283"/>
      </w:pPr>
      <w:r>
        <w:rPr>
          <w:b/>
        </w:rPr>
        <w:t xml:space="preserve">10.1  </w:t>
      </w:r>
      <w:r>
        <w:t>Bilan de la conduite de projet (résultats vs objectifs).</w:t>
      </w:r>
    </w:p>
    <w:p w:rsidR="00C115A1" w:rsidRDefault="00000000">
      <w:pPr>
        <w:spacing w:after="40"/>
        <w:ind w:left="283"/>
      </w:pPr>
      <w:r>
        <w:rPr>
          <w:b/>
        </w:rPr>
        <w:t xml:space="preserve">10.2  </w:t>
      </w:r>
      <w:r>
        <w:t>Enseignements managériaux, techniques et humains.</w:t>
      </w:r>
    </w:p>
    <w:p w:rsidR="00C115A1" w:rsidRDefault="00000000">
      <w:pPr>
        <w:spacing w:after="40"/>
        <w:ind w:left="283"/>
      </w:pPr>
      <w:r>
        <w:rPr>
          <w:b/>
        </w:rPr>
        <w:t xml:space="preserve">10.3  </w:t>
      </w:r>
      <w:r>
        <w:t>Recommandations pour la suite du projet.</w:t>
      </w:r>
    </w:p>
    <w:p w:rsidR="00C115A1" w:rsidRDefault="00000000">
      <w:pPr>
        <w:spacing w:after="40"/>
        <w:ind w:left="283"/>
      </w:pPr>
      <w:r>
        <w:rPr>
          <w:b/>
        </w:rPr>
        <w:t xml:space="preserve">10.4  </w:t>
      </w:r>
      <w:r>
        <w:t>Apports du projet pour le candidat MBA.</w:t>
      </w:r>
    </w:p>
    <w:p w:rsidR="00C115A1" w:rsidRDefault="00000000">
      <w:pPr>
        <w:keepNext/>
        <w:spacing w:before="360" w:after="200"/>
      </w:pPr>
      <w:r>
        <w:rPr>
          <w:b/>
          <w:color w:val="17112E"/>
          <w:sz w:val="30"/>
        </w:rPr>
        <w:t>Conclusion générale</w:t>
      </w:r>
    </w:p>
    <w:p w:rsidR="00C115A1" w:rsidRDefault="00000000">
      <w:pPr>
        <w:keepNext/>
        <w:spacing w:before="360" w:after="200"/>
      </w:pPr>
      <w:r>
        <w:rPr>
          <w:b/>
          <w:color w:val="17112E"/>
          <w:sz w:val="30"/>
        </w:rPr>
        <w:t>Bibliographie / Webographie</w:t>
      </w:r>
    </w:p>
    <w:p w:rsidR="00C115A1" w:rsidRDefault="00000000">
      <w:pPr>
        <w:keepNext/>
        <w:spacing w:before="360" w:after="200"/>
      </w:pPr>
      <w:r>
        <w:rPr>
          <w:b/>
          <w:color w:val="17112E"/>
          <w:sz w:val="30"/>
        </w:rPr>
        <w:t>Annexes</w:t>
      </w:r>
    </w:p>
    <w:p w:rsidR="00C115A1" w:rsidRDefault="00000000">
      <w:pPr>
        <w:spacing w:after="40"/>
        <w:ind w:left="283"/>
      </w:pPr>
      <w:r>
        <w:rPr>
          <w:b/>
        </w:rPr>
        <w:t xml:space="preserve">•  </w:t>
      </w:r>
      <w:r>
        <w:t>Diagrammes BPMN et diagrammes de cas d'utilisation.</w:t>
      </w:r>
    </w:p>
    <w:p w:rsidR="00C115A1" w:rsidRDefault="00000000">
      <w:pPr>
        <w:spacing w:after="40"/>
        <w:ind w:left="283"/>
      </w:pPr>
      <w:r>
        <w:rPr>
          <w:b/>
        </w:rPr>
        <w:t xml:space="preserve">•  </w:t>
      </w:r>
      <w:r>
        <w:t>Captures d'écran de la solution (backoffice, mobile, landing page).</w:t>
      </w:r>
    </w:p>
    <w:p w:rsidR="00C115A1" w:rsidRDefault="00000000">
      <w:pPr>
        <w:spacing w:after="40"/>
        <w:ind w:left="283"/>
      </w:pPr>
      <w:r>
        <w:rPr>
          <w:b/>
        </w:rPr>
        <w:t xml:space="preserve">•  </w:t>
      </w:r>
      <w:r>
        <w:t>Extraits de code ou de schéma de base de données si pertinent.</w:t>
      </w:r>
    </w:p>
    <w:sectPr w:rsidR="00C115A1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41044">
    <w:abstractNumId w:val="8"/>
  </w:num>
  <w:num w:numId="2" w16cid:durableId="1959339735">
    <w:abstractNumId w:val="6"/>
  </w:num>
  <w:num w:numId="3" w16cid:durableId="49808179">
    <w:abstractNumId w:val="5"/>
  </w:num>
  <w:num w:numId="4" w16cid:durableId="1582983490">
    <w:abstractNumId w:val="4"/>
  </w:num>
  <w:num w:numId="5" w16cid:durableId="1373459570">
    <w:abstractNumId w:val="7"/>
  </w:num>
  <w:num w:numId="6" w16cid:durableId="1457985217">
    <w:abstractNumId w:val="3"/>
  </w:num>
  <w:num w:numId="7" w16cid:durableId="1431313875">
    <w:abstractNumId w:val="2"/>
  </w:num>
  <w:num w:numId="8" w16cid:durableId="870606203">
    <w:abstractNumId w:val="1"/>
  </w:num>
  <w:num w:numId="9" w16cid:durableId="155538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15A1"/>
    <w:rsid w:val="00CB0664"/>
    <w:rsid w:val="00CB37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B7764"/>
  <w14:defaultImageDpi w14:val="300"/>
  <w15:docId w15:val="{2D632F9E-CB22-C04D-984A-2E7642D9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Adorand Dembi</cp:lastModifiedBy>
  <cp:revision>2</cp:revision>
  <dcterms:created xsi:type="dcterms:W3CDTF">2013-12-23T23:15:00Z</dcterms:created>
  <dcterms:modified xsi:type="dcterms:W3CDTF">2026-07-10T22:29:00Z</dcterms:modified>
  <cp:category/>
</cp:coreProperties>
</file>