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141C2E"/>
          <w:sz w:val="34"/>
        </w:rPr>
        <w:t>SUBCONTRACT AGREEMENT</w:t>
      </w:r>
    </w:p>
    <w:p>
      <w:pPr>
        <w:jc w:val="center"/>
      </w:pPr>
      <w:r>
        <w:rPr>
          <w:i/>
          <w:color w:val="5F6B79"/>
          <w:sz w:val="20"/>
        </w:rPr>
        <w:t>Agreement between Main Contractor and Subcontractor</w:t>
      </w:r>
    </w:p>
    <w:tbl>
      <w:tblPr>
        <w:tblW w:type="auto" w:w="0"/>
        <w:jc w:val="center"/>
        <w:tblLook w:firstColumn="1" w:firstRow="1" w:lastColumn="0" w:lastRow="0" w:noHBand="0" w:noVBand="1" w:val="04A0"/>
      </w:tblPr>
      <w:tblGrid>
        <w:gridCol w:w="9298"/>
      </w:tblGrid>
      <w:tr>
        <w:tc>
          <w:tcPr>
            <w:tcW w:type="dxa" w:w="9298"/>
            <w:shd w:val="clear" w:fill="FFF2B3"/>
          </w:tcPr>
          <w:p>
            <w:r/>
            <w:r>
              <w:rPr>
                <w:b w:val="0"/>
                <w:sz w:val="18"/>
              </w:rPr>
              <w:t xml:space="preserve">IMPORTANT — READ FIRST. This is a general-purpose template provided by Norden Trading Plc as a starting point. It is not legal advice and is not tailored to any particular project. Yellow </w:t>
            </w:r>
            <w:r>
              <w:rPr>
                <w:b w:val="0"/>
                <w:sz w:val="18"/>
                <w:highlight w:val="yellow"/>
              </w:rPr>
              <w:t>[bracketed]</w:t>
            </w:r>
            <w:r>
              <w:rPr>
                <w:b w:val="0"/>
                <w:sz w:val="18"/>
              </w:rPr>
              <w:t xml:space="preserve"> text must be completed or deleted. Before signing, have the agreement reviewed and adapted by a qualified lawyer licensed in Ethiopia, and check it against any procurement rules, tax requirements and licensing rules that apply to your project. Delete this box before use.</w:t>
            </w:r>
          </w:p>
        </w:tc>
      </w:tr>
    </w:tbl>
    <w:p/>
    <w:p>
      <w:pPr>
        <w:spacing w:after="120"/>
        <w:jc w:val="both"/>
      </w:pPr>
      <w:r>
        <w:rPr>
          <w:b w:val="0"/>
        </w:rPr>
        <w:t xml:space="preserve">This Subcontract Agreement is made on </w:t>
      </w:r>
      <w:r>
        <w:rPr>
          <w:b w:val="0"/>
          <w:highlight w:val="yellow"/>
        </w:rPr>
        <w:t>[__ / __ / ____]</w:t>
      </w:r>
      <w:r>
        <w:rPr>
          <w:b w:val="0"/>
        </w:rPr>
        <w:t xml:space="preserve"> at </w:t>
      </w:r>
      <w:r>
        <w:rPr>
          <w:b w:val="0"/>
          <w:highlight w:val="yellow"/>
        </w:rPr>
        <w:t>[Addis Ababa]</w:t>
      </w:r>
      <w:r>
        <w:rPr>
          <w:b w:val="0"/>
        </w:rPr>
        <w:t>, Ethiopia, between:</w:t>
      </w:r>
    </w:p>
    <w:tbl>
      <w:tblPr>
        <w:tblStyle w:val="TableGrid"/>
        <w:tblW w:type="auto" w:w="0"/>
        <w:tblLayout w:type="fixed"/>
        <w:tblLook w:firstColumn="1" w:firstRow="1" w:lastColumn="0" w:lastRow="0" w:noHBand="0" w:noVBand="1" w:val="04A0"/>
      </w:tblPr>
      <w:tblGrid>
        <w:gridCol w:w="2381"/>
        <w:gridCol w:w="6917"/>
      </w:tblGrid>
      <w:tr>
        <w:tc>
          <w:tcPr>
            <w:tcW w:type="dxa" w:w="2381"/>
          </w:tcPr>
          <w:p>
            <w:r/>
            <w:r>
              <w:rPr>
                <w:b/>
              </w:rPr>
              <w:t>The Contractor</w:t>
            </w:r>
          </w:p>
        </w:tc>
        <w:tc>
          <w:tcPr>
            <w:tcW w:type="dxa" w:w="6917"/>
          </w:tcPr>
          <w:p>
            <w:r/>
            <w:r>
              <w:rPr>
                <w:b w:val="0"/>
                <w:highlight w:val="yellow"/>
              </w:rPr>
              <w:t>[Full legal name]</w:t>
            </w:r>
            <w:r>
              <w:rPr>
                <w:b w:val="0"/>
              </w:rPr>
              <w:t xml:space="preserve">, commercial registration no. </w:t>
            </w:r>
            <w:r>
              <w:rPr>
                <w:b w:val="0"/>
                <w:highlight w:val="yellow"/>
              </w:rPr>
              <w:t>[_______]</w:t>
            </w:r>
            <w:r>
              <w:rPr>
                <w:b w:val="0"/>
              </w:rPr>
              <w:t xml:space="preserve">, TIN </w:t>
            </w:r>
            <w:r>
              <w:rPr>
                <w:b w:val="0"/>
                <w:highlight w:val="yellow"/>
              </w:rPr>
              <w:t>[_______]</w:t>
            </w:r>
            <w:r>
              <w:rPr>
                <w:b w:val="0"/>
              </w:rPr>
              <w:t xml:space="preserve">, of </w:t>
            </w:r>
            <w:r>
              <w:rPr>
                <w:b w:val="0"/>
                <w:highlight w:val="yellow"/>
              </w:rPr>
              <w:t>[address]</w:t>
            </w:r>
            <w:r>
              <w:rPr>
                <w:b w:val="0"/>
              </w:rPr>
              <w:t xml:space="preserve">, represented by </w:t>
            </w:r>
            <w:r>
              <w:rPr>
                <w:b w:val="0"/>
                <w:highlight w:val="yellow"/>
              </w:rPr>
              <w:t>[name and title]</w:t>
            </w:r>
            <w:r>
              <w:rPr>
                <w:b w:val="0"/>
              </w:rPr>
              <w:t xml:space="preserve"> (the “Contractor”).</w:t>
            </w:r>
          </w:p>
        </w:tc>
      </w:tr>
      <w:tr>
        <w:tc>
          <w:tcPr>
            <w:tcW w:type="dxa" w:w="2381"/>
          </w:tcPr>
          <w:p>
            <w:r/>
            <w:r>
              <w:rPr>
                <w:b/>
              </w:rPr>
              <w:t>The Subcontractor</w:t>
            </w:r>
          </w:p>
        </w:tc>
        <w:tc>
          <w:tcPr>
            <w:tcW w:type="dxa" w:w="6917"/>
          </w:tcPr>
          <w:p>
            <w:r/>
            <w:r>
              <w:rPr>
                <w:b w:val="0"/>
                <w:highlight w:val="yellow"/>
              </w:rPr>
              <w:t>[Full legal name]</w:t>
            </w:r>
            <w:r>
              <w:rPr>
                <w:b w:val="0"/>
              </w:rPr>
              <w:t xml:space="preserve">, commercial registration no. </w:t>
            </w:r>
            <w:r>
              <w:rPr>
                <w:b w:val="0"/>
                <w:highlight w:val="yellow"/>
              </w:rPr>
              <w:t>[_______]</w:t>
            </w:r>
            <w:r>
              <w:rPr>
                <w:b w:val="0"/>
              </w:rPr>
              <w:t xml:space="preserve">, TIN </w:t>
            </w:r>
            <w:r>
              <w:rPr>
                <w:b w:val="0"/>
                <w:highlight w:val="yellow"/>
              </w:rPr>
              <w:t>[_______]</w:t>
            </w:r>
            <w:r>
              <w:rPr>
                <w:b w:val="0"/>
              </w:rPr>
              <w:t xml:space="preserve">, licence/grade </w:t>
            </w:r>
            <w:r>
              <w:rPr>
                <w:b w:val="0"/>
                <w:highlight w:val="yellow"/>
              </w:rPr>
              <w:t>[_______]</w:t>
            </w:r>
            <w:r>
              <w:rPr>
                <w:b w:val="0"/>
              </w:rPr>
              <w:t xml:space="preserve">, of </w:t>
            </w:r>
            <w:r>
              <w:rPr>
                <w:b w:val="0"/>
                <w:highlight w:val="yellow"/>
              </w:rPr>
              <w:t>[address]</w:t>
            </w:r>
            <w:r>
              <w:rPr>
                <w:b w:val="0"/>
              </w:rPr>
              <w:t xml:space="preserve">, represented by </w:t>
            </w:r>
            <w:r>
              <w:rPr>
                <w:b w:val="0"/>
                <w:highlight w:val="yellow"/>
              </w:rPr>
              <w:t>[name and title]</w:t>
            </w:r>
            <w:r>
              <w:rPr>
                <w:b w:val="0"/>
              </w:rPr>
              <w:t xml:space="preserve"> (the “Subcontractor”).</w:t>
            </w:r>
          </w:p>
        </w:tc>
      </w:tr>
    </w:tbl>
    <w:p/>
    <w:p>
      <w:pPr>
        <w:spacing w:after="120"/>
      </w:pPr>
      <w:r>
        <w:rPr>
          <w:b/>
        </w:rPr>
        <w:t>BACKGROUND</w:t>
      </w:r>
    </w:p>
    <w:p>
      <w:pPr>
        <w:spacing w:after="120"/>
        <w:jc w:val="both"/>
      </w:pPr>
      <w:r>
        <w:rPr>
          <w:b w:val="0"/>
        </w:rPr>
        <w:t xml:space="preserve">(A) The Contractor has entered into a contract dated </w:t>
      </w:r>
      <w:r>
        <w:rPr>
          <w:b w:val="0"/>
          <w:highlight w:val="yellow"/>
        </w:rPr>
        <w:t>[date]</w:t>
      </w:r>
      <w:r>
        <w:rPr>
          <w:b w:val="0"/>
        </w:rPr>
        <w:t xml:space="preserve"> (the “Main Contract”) with </w:t>
      </w:r>
      <w:r>
        <w:rPr>
          <w:b w:val="0"/>
          <w:highlight w:val="yellow"/>
        </w:rPr>
        <w:t>[Employer name]</w:t>
      </w:r>
      <w:r>
        <w:rPr>
          <w:b w:val="0"/>
        </w:rPr>
        <w:t xml:space="preserve"> (the “Employer”) for </w:t>
      </w:r>
      <w:r>
        <w:rPr>
          <w:b w:val="0"/>
          <w:highlight w:val="yellow"/>
        </w:rPr>
        <w:t>[project name and location]</w:t>
      </w:r>
      <w:r>
        <w:rPr>
          <w:b w:val="0"/>
        </w:rPr>
        <w:t xml:space="preserve"> (the “Project”).</w:t>
      </w:r>
    </w:p>
    <w:p>
      <w:pPr>
        <w:spacing w:after="120"/>
        <w:jc w:val="both"/>
      </w:pPr>
      <w:r>
        <w:rPr>
          <w:b w:val="0"/>
        </w:rPr>
        <w:t>(B) The Contractor wishes to subcontract part of the Main Contract works to the Subcontractor, and the Subcontractor agrees to carry them out on the terms below.</w:t>
      </w:r>
    </w:p>
    <w:p>
      <w:pPr>
        <w:spacing w:after="120"/>
      </w:pPr>
      <w:r>
        <w:rPr>
          <w:b/>
        </w:rPr>
        <w:t>The parties agree as follows:</w:t>
      </w:r>
    </w:p>
    <w:p>
      <w:pPr>
        <w:keepNext/>
        <w:spacing w:before="240" w:after="80"/>
      </w:pPr>
      <w:r>
        <w:rPr>
          <w:b/>
          <w:color w:val="141C2E"/>
          <w:sz w:val="22"/>
        </w:rPr>
        <w:t>1.  DEFINITIONS</w:t>
      </w:r>
    </w:p>
    <w:p>
      <w:pPr>
        <w:tabs>
          <w:tab w:pos="624" w:val="left"/>
        </w:tabs>
        <w:ind w:left="624" w:hanging="624"/>
        <w:jc w:val="both"/>
      </w:pPr>
      <w:r>
        <w:rPr>
          <w:b w:val="0"/>
        </w:rPr>
        <w:t>1.1</w:t>
        <w:tab/>
      </w:r>
      <w:r>
        <w:rPr>
          <w:b w:val="0"/>
        </w:rPr>
        <w:t>“Subcontract Works” means the works described in Schedule 1. “Subcontract Price” means the price in clause 4. “Site” means the Project site. “Engineer” means the person appointed by the Employer to supervise the Project, or any replacement.</w:t>
      </w:r>
    </w:p>
    <w:p>
      <w:pPr>
        <w:tabs>
          <w:tab w:pos="624" w:val="left"/>
        </w:tabs>
        <w:ind w:left="624" w:hanging="624"/>
        <w:jc w:val="both"/>
      </w:pPr>
      <w:r>
        <w:rPr>
          <w:b w:val="0"/>
        </w:rPr>
        <w:t>1.2</w:t>
        <w:tab/>
      </w:r>
      <w:r>
        <w:rPr>
          <w:b w:val="0"/>
        </w:rPr>
        <w:t>The Main Contract documents (other than the prices) are available to the Subcontractor for inspection. The Subcontractor confirms it has reviewed the parts relevant to the Subcontract Works.</w:t>
      </w:r>
    </w:p>
    <w:p>
      <w:pPr>
        <w:keepNext/>
        <w:spacing w:before="240" w:after="80"/>
      </w:pPr>
      <w:r>
        <w:rPr>
          <w:b/>
          <w:color w:val="141C2E"/>
          <w:sz w:val="22"/>
        </w:rPr>
        <w:t>2.  SUBCONTRACT WORKS AND MAIN CONTRACT TERMS</w:t>
      </w:r>
    </w:p>
    <w:p>
      <w:pPr>
        <w:tabs>
          <w:tab w:pos="624" w:val="left"/>
        </w:tabs>
        <w:ind w:left="624" w:hanging="624"/>
        <w:jc w:val="both"/>
      </w:pPr>
      <w:r>
        <w:rPr>
          <w:b w:val="0"/>
        </w:rPr>
        <w:t>2.1</w:t>
        <w:tab/>
      </w:r>
      <w:r>
        <w:rPr>
          <w:b w:val="0"/>
        </w:rPr>
        <w:t>The Subcontractor shall carry out and complete the Subcontract Works in accordance with this Agreement, the drawings and specifications, the instructions of the Contractor and the Engineer, and Ethiopian law.</w:t>
      </w:r>
    </w:p>
    <w:p>
      <w:pPr>
        <w:tabs>
          <w:tab w:pos="624" w:val="left"/>
        </w:tabs>
        <w:ind w:left="624" w:hanging="624"/>
        <w:jc w:val="both"/>
      </w:pPr>
      <w:r>
        <w:rPr>
          <w:b w:val="0"/>
        </w:rPr>
        <w:t>2.2</w:t>
        <w:tab/>
      </w:r>
      <w:r>
        <w:rPr>
          <w:b w:val="0"/>
        </w:rPr>
        <w:t>The Subcontractor shall comply with the Main Contract obligations that relate to the Subcontract Works, and shall not do or omit anything that would cause the Contractor to break the Main Contract.</w:t>
      </w:r>
    </w:p>
    <w:p>
      <w:pPr>
        <w:tabs>
          <w:tab w:pos="624" w:val="left"/>
        </w:tabs>
        <w:ind w:left="624" w:hanging="624"/>
        <w:jc w:val="both"/>
      </w:pPr>
      <w:r>
        <w:rPr>
          <w:b w:val="0"/>
        </w:rPr>
        <w:t>2.3</w:t>
        <w:tab/>
      </w:r>
      <w:r>
        <w:rPr>
          <w:b w:val="0"/>
        </w:rPr>
        <w:t>If there is a conflict between this Agreement and the Main Contract on the standard of work or the time for performance, the stricter requirement applies to the Subcontractor.</w:t>
      </w:r>
    </w:p>
    <w:p>
      <w:pPr>
        <w:keepNext/>
        <w:spacing w:before="240" w:after="80"/>
      </w:pPr>
      <w:r>
        <w:rPr>
          <w:b/>
          <w:color w:val="141C2E"/>
          <w:sz w:val="22"/>
        </w:rPr>
        <w:t>3.  PROGRAMME AND TIME</w:t>
      </w:r>
    </w:p>
    <w:p>
      <w:pPr>
        <w:tabs>
          <w:tab w:pos="624" w:val="left"/>
        </w:tabs>
        <w:ind w:left="624" w:hanging="624"/>
        <w:jc w:val="both"/>
      </w:pPr>
      <w:r>
        <w:rPr>
          <w:b w:val="0"/>
        </w:rPr>
        <w:t>3.1</w:t>
        <w:tab/>
      </w:r>
      <w:r>
        <w:rPr>
          <w:b w:val="0"/>
        </w:rPr>
        <w:t xml:space="preserve">The Subcontractor shall start on </w:t>
      </w:r>
      <w:r>
        <w:rPr>
          <w:b w:val="0"/>
          <w:highlight w:val="yellow"/>
        </w:rPr>
        <w:t>[date]</w:t>
      </w:r>
      <w:r>
        <w:rPr>
          <w:b w:val="0"/>
        </w:rPr>
        <w:t xml:space="preserve"> (or within </w:t>
      </w:r>
      <w:r>
        <w:rPr>
          <w:b w:val="0"/>
          <w:highlight w:val="yellow"/>
        </w:rPr>
        <w:t>[__]</w:t>
      </w:r>
      <w:r>
        <w:rPr>
          <w:b w:val="0"/>
        </w:rPr>
        <w:t xml:space="preserve"> days of the Contractor’s notice) and complete the Subcontract Works by </w:t>
      </w:r>
      <w:r>
        <w:rPr>
          <w:b w:val="0"/>
          <w:highlight w:val="yellow"/>
        </w:rPr>
        <w:t>[date]</w:t>
      </w:r>
      <w:r>
        <w:rPr>
          <w:b w:val="0"/>
        </w:rPr>
        <w:t>, in accordance with the programme in Schedule 2, and shall keep to any reasonable revised programme issued by the Contractor.</w:t>
      </w:r>
    </w:p>
    <w:p>
      <w:pPr>
        <w:tabs>
          <w:tab w:pos="624" w:val="left"/>
        </w:tabs>
        <w:ind w:left="624" w:hanging="624"/>
        <w:jc w:val="both"/>
      </w:pPr>
      <w:r>
        <w:rPr>
          <w:b w:val="0"/>
        </w:rPr>
        <w:t>3.2</w:t>
        <w:tab/>
      </w:r>
      <w:r>
        <w:rPr>
          <w:b w:val="0"/>
        </w:rPr>
        <w:t xml:space="preserve">If the Subcontractor is late, it shall pay liquidated damages of </w:t>
      </w:r>
      <w:r>
        <w:rPr>
          <w:b w:val="0"/>
          <w:highlight w:val="yellow"/>
        </w:rPr>
        <w:t>[__]</w:t>
      </w:r>
      <w:r>
        <w:rPr>
          <w:b w:val="0"/>
        </w:rPr>
        <w:t xml:space="preserve">% of the Subcontract Price per day, up to </w:t>
      </w:r>
      <w:r>
        <w:rPr>
          <w:b w:val="0"/>
          <w:highlight w:val="yellow"/>
        </w:rPr>
        <w:t>[__]</w:t>
      </w:r>
      <w:r>
        <w:rPr>
          <w:b w:val="0"/>
        </w:rPr>
        <w:t>%, plus any liquidated damages the Contractor has to pay the Employer as a direct result of the Subcontractor’s delay.</w:t>
      </w:r>
    </w:p>
    <w:p>
      <w:pPr>
        <w:tabs>
          <w:tab w:pos="624" w:val="left"/>
        </w:tabs>
        <w:ind w:left="624" w:hanging="624"/>
        <w:jc w:val="both"/>
      </w:pPr>
      <w:r>
        <w:rPr>
          <w:b w:val="0"/>
        </w:rPr>
        <w:t>3.3</w:t>
        <w:tab/>
      </w:r>
      <w:r>
        <w:rPr>
          <w:b w:val="0"/>
        </w:rPr>
        <w:t xml:space="preserve">The Subcontractor is entitled to an extension of time where the delay is caused by the Contractor, a variation, force majeure, or an extension the Contractor itself receives under the Main Contract for the same cause, provided that written notice is given within </w:t>
      </w:r>
      <w:r>
        <w:rPr>
          <w:b w:val="0"/>
          <w:highlight w:val="yellow"/>
        </w:rPr>
        <w:t>[7]</w:t>
      </w:r>
      <w:r>
        <w:rPr>
          <w:b w:val="0"/>
        </w:rPr>
        <w:t xml:space="preserve"> days of the cause arising.</w:t>
      </w:r>
    </w:p>
    <w:p>
      <w:pPr>
        <w:keepNext/>
        <w:spacing w:before="240" w:after="80"/>
      </w:pPr>
      <w:r>
        <w:rPr>
          <w:b/>
          <w:color w:val="141C2E"/>
          <w:sz w:val="22"/>
        </w:rPr>
        <w:t>4.  SUBCONTRACT PRICE</w:t>
      </w:r>
    </w:p>
    <w:p>
      <w:pPr>
        <w:tabs>
          <w:tab w:pos="624" w:val="left"/>
        </w:tabs>
        <w:ind w:left="624" w:hanging="624"/>
        <w:jc w:val="both"/>
      </w:pPr>
      <w:r>
        <w:rPr>
          <w:b w:val="0"/>
        </w:rPr>
        <w:t>4.1</w:t>
        <w:tab/>
      </w:r>
      <w:r>
        <w:rPr>
          <w:b w:val="0"/>
        </w:rPr>
        <w:t xml:space="preserve">The Subcontract Price is ETB </w:t>
      </w:r>
      <w:r>
        <w:rPr>
          <w:b w:val="0"/>
          <w:highlight w:val="yellow"/>
        </w:rPr>
        <w:t>[__________]</w:t>
      </w:r>
      <w:r>
        <w:rPr>
          <w:b w:val="0"/>
        </w:rPr>
        <w:t xml:space="preserve"> (</w:t>
      </w:r>
      <w:r>
        <w:rPr>
          <w:b w:val="0"/>
          <w:highlight w:val="yellow"/>
        </w:rPr>
        <w:t>[amount in words]</w:t>
      </w:r>
      <w:r>
        <w:rPr>
          <w:b w:val="0"/>
        </w:rPr>
        <w:t xml:space="preserve">), </w:t>
      </w:r>
      <w:r>
        <w:rPr>
          <w:b w:val="0"/>
          <w:highlight w:val="yellow"/>
        </w:rPr>
        <w:t>[exclusive / inclusive]</w:t>
      </w:r>
      <w:r>
        <w:rPr>
          <w:b w:val="0"/>
        </w:rPr>
        <w:t xml:space="preserve"> of Value Added Tax, </w:t>
      </w:r>
      <w:r>
        <w:rPr>
          <w:b w:val="0"/>
          <w:highlight w:val="yellow"/>
        </w:rPr>
        <w:t>[as a lump sum / based on the rates in Schedule 3 and measured quantities]</w:t>
      </w:r>
      <w:r>
        <w:rPr>
          <w:b w:val="0"/>
        </w:rPr>
        <w:t>.</w:t>
      </w:r>
    </w:p>
    <w:p>
      <w:pPr>
        <w:tabs>
          <w:tab w:pos="624" w:val="left"/>
        </w:tabs>
        <w:ind w:left="624" w:hanging="624"/>
        <w:jc w:val="both"/>
      </w:pPr>
      <w:r>
        <w:rPr>
          <w:b w:val="0"/>
        </w:rPr>
        <w:t>4.2</w:t>
        <w:tab/>
      </w:r>
      <w:r>
        <w:rPr>
          <w:b w:val="0"/>
        </w:rPr>
        <w:t>The price covers everything required to complete the Subcontract Works, including labour, materials, plant, supervision, insurance, taxes and levies, except where this Agreement states otherwise.</w:t>
      </w:r>
    </w:p>
    <w:p>
      <w:pPr>
        <w:keepNext/>
        <w:spacing w:before="240" w:after="80"/>
      </w:pPr>
      <w:r>
        <w:rPr>
          <w:b/>
          <w:color w:val="141C2E"/>
          <w:sz w:val="22"/>
        </w:rPr>
        <w:t>5.  PAYMENT</w:t>
      </w:r>
    </w:p>
    <w:p>
      <w:pPr>
        <w:tabs>
          <w:tab w:pos="624" w:val="left"/>
        </w:tabs>
        <w:ind w:left="624" w:hanging="624"/>
        <w:jc w:val="both"/>
      </w:pPr>
      <w:r>
        <w:rPr>
          <w:b w:val="0"/>
        </w:rPr>
        <w:t>5.1</w:t>
        <w:tab/>
      </w:r>
      <w:r>
        <w:rPr>
          <w:b w:val="0"/>
        </w:rPr>
        <w:t xml:space="preserve">The Subcontractor shall submit an application each </w:t>
      </w:r>
      <w:r>
        <w:rPr>
          <w:b w:val="0"/>
          <w:highlight w:val="yellow"/>
        </w:rPr>
        <w:t>[month]</w:t>
      </w:r>
      <w:r>
        <w:rPr>
          <w:b w:val="0"/>
        </w:rPr>
        <w:t xml:space="preserve"> stating the value of Subcontract Works done, supported by measurements. The Contractor shall check and certify the amount within </w:t>
      </w:r>
      <w:r>
        <w:rPr>
          <w:b w:val="0"/>
          <w:highlight w:val="yellow"/>
        </w:rPr>
        <w:t>[__]</w:t>
      </w:r>
      <w:r>
        <w:rPr>
          <w:b w:val="0"/>
        </w:rPr>
        <w:t xml:space="preserve"> days.</w:t>
      </w:r>
    </w:p>
    <w:p>
      <w:pPr>
        <w:tabs>
          <w:tab w:pos="624" w:val="left"/>
        </w:tabs>
        <w:ind w:left="624" w:hanging="624"/>
        <w:jc w:val="both"/>
      </w:pPr>
      <w:r>
        <w:rPr>
          <w:b w:val="0"/>
        </w:rPr>
        <w:t>5.2</w:t>
        <w:tab/>
      </w:r>
      <w:r>
        <w:rPr>
          <w:b w:val="0"/>
        </w:rPr>
        <w:t xml:space="preserve">Payment of the certified amount shall be made within </w:t>
      </w:r>
      <w:r>
        <w:rPr>
          <w:b w:val="0"/>
          <w:highlight w:val="yellow"/>
        </w:rPr>
        <w:t>[__]</w:t>
      </w:r>
      <w:r>
        <w:rPr>
          <w:b w:val="0"/>
        </w:rPr>
        <w:t xml:space="preserve"> days after the Contractor </w:t>
      </w:r>
      <w:r>
        <w:rPr>
          <w:b w:val="0"/>
          <w:highlight w:val="yellow"/>
        </w:rPr>
        <w:t>[receives the corresponding payment from the Employer / certifies the amount]</w:t>
      </w:r>
      <w:r>
        <w:rPr>
          <w:b w:val="0"/>
        </w:rPr>
        <w:t xml:space="preserve"> </w:t>
      </w:r>
      <w:r>
        <w:rPr>
          <w:b w:val="0"/>
          <w:highlight w:val="yellow"/>
        </w:rPr>
        <w:t>[choose one; the first option is a conditional “pay-when-paid” arrangement and should be reviewed by a lawyer]</w:t>
      </w:r>
      <w:r>
        <w:rPr>
          <w:b w:val="0"/>
        </w:rPr>
        <w:t>.</w:t>
      </w:r>
    </w:p>
    <w:p>
      <w:pPr>
        <w:tabs>
          <w:tab w:pos="624" w:val="left"/>
        </w:tabs>
        <w:ind w:left="624" w:hanging="624"/>
        <w:jc w:val="both"/>
      </w:pPr>
      <w:r>
        <w:rPr>
          <w:b w:val="0"/>
        </w:rPr>
        <w:t>5.3</w:t>
        <w:tab/>
      </w:r>
      <w:r>
        <w:rPr>
          <w:b w:val="0"/>
        </w:rPr>
        <w:t xml:space="preserve">The Contractor shall retain </w:t>
      </w:r>
      <w:r>
        <w:rPr>
          <w:b w:val="0"/>
          <w:highlight w:val="yellow"/>
        </w:rPr>
        <w:t>[__]</w:t>
      </w:r>
      <w:r>
        <w:rPr>
          <w:b w:val="0"/>
        </w:rPr>
        <w:t xml:space="preserve">% of each payment until the retention reaches </w:t>
      </w:r>
      <w:r>
        <w:rPr>
          <w:b w:val="0"/>
          <w:highlight w:val="yellow"/>
        </w:rPr>
        <w:t>[__]</w:t>
      </w:r>
      <w:r>
        <w:rPr>
          <w:b w:val="0"/>
        </w:rPr>
        <w:t>% of the Subcontract Price. Half of the retention shall be released at completion of the Subcontract Works and the balance at the end of the defects liability period.</w:t>
      </w:r>
    </w:p>
    <w:p>
      <w:pPr>
        <w:tabs>
          <w:tab w:pos="624" w:val="left"/>
        </w:tabs>
        <w:ind w:left="624" w:hanging="624"/>
        <w:jc w:val="both"/>
      </w:pPr>
      <w:r>
        <w:rPr>
          <w:b w:val="0"/>
        </w:rPr>
        <w:t>5.4</w:t>
        <w:tab/>
      </w:r>
      <w:r>
        <w:rPr>
          <w:b w:val="0"/>
        </w:rPr>
        <w:t>Value Added Tax shall be shown separately on the Subcontractor’s tax invoice. The Contractor shall deduct and remit withholding tax and other deductions required by Ethiopian law, and shall give the Subcontractor the corresponding receipts.</w:t>
      </w:r>
    </w:p>
    <w:p>
      <w:pPr>
        <w:tabs>
          <w:tab w:pos="624" w:val="left"/>
        </w:tabs>
        <w:ind w:left="624" w:hanging="624"/>
        <w:jc w:val="both"/>
      </w:pPr>
      <w:r>
        <w:rPr>
          <w:b w:val="0"/>
        </w:rPr>
        <w:t>5.5</w:t>
        <w:tab/>
      </w:r>
      <w:r>
        <w:rPr>
          <w:b w:val="0"/>
        </w:rPr>
        <w:t>The Contractor may deduct from any payment amounts it is entitled to under this Agreement (such as liquidated damages and the cost of remedying defects), after notifying the Subcontractor with reasons.</w:t>
      </w:r>
    </w:p>
    <w:p>
      <w:pPr>
        <w:keepNext/>
        <w:spacing w:before="240" w:after="80"/>
      </w:pPr>
      <w:r>
        <w:rPr>
          <w:b/>
          <w:color w:val="141C2E"/>
          <w:sz w:val="22"/>
        </w:rPr>
        <w:t>6.  VARIATIONS</w:t>
      </w:r>
    </w:p>
    <w:p>
      <w:pPr>
        <w:tabs>
          <w:tab w:pos="624" w:val="left"/>
        </w:tabs>
        <w:ind w:left="624" w:hanging="624"/>
        <w:jc w:val="both"/>
      </w:pPr>
      <w:r>
        <w:rPr>
          <w:b w:val="0"/>
        </w:rPr>
        <w:t>6.1</w:t>
        <w:tab/>
      </w:r>
      <w:r>
        <w:rPr>
          <w:b w:val="0"/>
        </w:rPr>
        <w:t>The Contractor may instruct variations to the Subcontract Works in writing. The Subcontractor shall carry them out and shall not vary the work without a written instruction.</w:t>
      </w:r>
    </w:p>
    <w:p>
      <w:pPr>
        <w:tabs>
          <w:tab w:pos="624" w:val="left"/>
        </w:tabs>
        <w:ind w:left="624" w:hanging="624"/>
        <w:jc w:val="both"/>
      </w:pPr>
      <w:r>
        <w:rPr>
          <w:b w:val="0"/>
        </w:rPr>
        <w:t>6.2</w:t>
        <w:tab/>
      </w:r>
      <w:r>
        <w:rPr>
          <w:b w:val="0"/>
        </w:rPr>
        <w:t>Variations shall be valued at the rates in Schedule 3 where applicable, otherwise at fair rates agreed in writing before the work is done.</w:t>
      </w:r>
    </w:p>
    <w:p>
      <w:pPr>
        <w:keepNext/>
        <w:spacing w:before="240" w:after="80"/>
      </w:pPr>
      <w:r>
        <w:rPr>
          <w:b/>
          <w:color w:val="141C2E"/>
          <w:sz w:val="22"/>
        </w:rPr>
        <w:t>7.  MATERIALS, WORKMANSHIP AND TESTING</w:t>
      </w:r>
    </w:p>
    <w:p>
      <w:pPr>
        <w:tabs>
          <w:tab w:pos="624" w:val="left"/>
        </w:tabs>
        <w:ind w:left="624" w:hanging="624"/>
        <w:jc w:val="both"/>
      </w:pPr>
      <w:r>
        <w:rPr>
          <w:b w:val="0"/>
        </w:rPr>
        <w:t>7.1</w:t>
        <w:tab/>
      </w:r>
      <w:r>
        <w:rPr>
          <w:b w:val="0"/>
        </w:rPr>
        <w:t>The Subcontractor shall use materials and workmanship that meet the specification and are of good quality. The Contractor and the Engineer may inspect and test the work at any time.</w:t>
      </w:r>
    </w:p>
    <w:p>
      <w:pPr>
        <w:tabs>
          <w:tab w:pos="624" w:val="left"/>
        </w:tabs>
        <w:ind w:left="624" w:hanging="624"/>
        <w:jc w:val="both"/>
      </w:pPr>
      <w:r>
        <w:rPr>
          <w:b w:val="0"/>
        </w:rPr>
        <w:t>7.2</w:t>
        <w:tab/>
      </w:r>
      <w:r>
        <w:rPr>
          <w:b w:val="0"/>
        </w:rPr>
        <w:t>Non-conforming materials or work shall be removed and corrected promptly by the Subcontractor at its own cost.</w:t>
      </w:r>
    </w:p>
    <w:p>
      <w:pPr>
        <w:keepNext/>
        <w:spacing w:before="240" w:after="80"/>
      </w:pPr>
      <w:r>
        <w:rPr>
          <w:b/>
          <w:color w:val="141C2E"/>
          <w:sz w:val="22"/>
        </w:rPr>
        <w:t>8.  SITE, SAFETY AND PERSONNEL</w:t>
      </w:r>
    </w:p>
    <w:p>
      <w:pPr>
        <w:tabs>
          <w:tab w:pos="624" w:val="left"/>
        </w:tabs>
        <w:ind w:left="624" w:hanging="624"/>
        <w:jc w:val="both"/>
      </w:pPr>
      <w:r>
        <w:rPr>
          <w:b w:val="0"/>
        </w:rPr>
        <w:t>8.1</w:t>
        <w:tab/>
      </w:r>
      <w:r>
        <w:rPr>
          <w:b w:val="0"/>
        </w:rPr>
        <w:t>The Subcontractor shall comply with the Contractor’s and the Employer’s site rules and all Ethiopian laws on labour, health, safety and the environment, shall provide protective equipment, and shall report accidents to the Contractor immediately.</w:t>
      </w:r>
    </w:p>
    <w:p>
      <w:pPr>
        <w:tabs>
          <w:tab w:pos="624" w:val="left"/>
        </w:tabs>
        <w:ind w:left="624" w:hanging="624"/>
        <w:jc w:val="both"/>
      </w:pPr>
      <w:r>
        <w:rPr>
          <w:b w:val="0"/>
        </w:rPr>
        <w:t>8.2</w:t>
        <w:tab/>
      </w:r>
      <w:r>
        <w:rPr>
          <w:b w:val="0"/>
        </w:rPr>
        <w:t>The Subcontractor shall employ competent workers (and licensed ones where the law requires), shall keep a competent supervisor on Site, and shall pay its workers on time. The Contractor may require the removal of any person who is incompetent or unsafe.</w:t>
      </w:r>
    </w:p>
    <w:p>
      <w:pPr>
        <w:tabs>
          <w:tab w:pos="624" w:val="left"/>
        </w:tabs>
        <w:ind w:left="624" w:hanging="624"/>
        <w:jc w:val="both"/>
      </w:pPr>
      <w:r>
        <w:rPr>
          <w:b w:val="0"/>
        </w:rPr>
        <w:t>8.3</w:t>
        <w:tab/>
      </w:r>
      <w:r>
        <w:rPr>
          <w:b w:val="0"/>
        </w:rPr>
        <w:t>The Subcontractor shall not further sub-let any part of the Subcontract Works without the Contractor’s written consent.</w:t>
      </w:r>
    </w:p>
    <w:p>
      <w:pPr>
        <w:tabs>
          <w:tab w:pos="624" w:val="left"/>
        </w:tabs>
        <w:ind w:left="624" w:hanging="624"/>
        <w:jc w:val="both"/>
      </w:pPr>
      <w:r>
        <w:rPr>
          <w:b w:val="0"/>
        </w:rPr>
        <w:t>8.4</w:t>
        <w:tab/>
      </w:r>
      <w:r>
        <w:rPr>
          <w:b w:val="0"/>
        </w:rPr>
        <w:t>Shared facilities, such as water, power, storage and access, shall be provided as set out in Schedule 4.</w:t>
      </w:r>
    </w:p>
    <w:p>
      <w:pPr>
        <w:keepNext/>
        <w:spacing w:before="240" w:after="80"/>
      </w:pPr>
      <w:r>
        <w:rPr>
          <w:b/>
          <w:color w:val="141C2E"/>
          <w:sz w:val="22"/>
        </w:rPr>
        <w:t>9.  INSURANCE AND GUARANTEE</w:t>
      </w:r>
    </w:p>
    <w:p>
      <w:pPr>
        <w:tabs>
          <w:tab w:pos="624" w:val="left"/>
        </w:tabs>
        <w:ind w:left="624" w:hanging="624"/>
        <w:jc w:val="both"/>
      </w:pPr>
      <w:r>
        <w:rPr>
          <w:b w:val="0"/>
        </w:rPr>
        <w:t>9.1</w:t>
        <w:tab/>
      </w:r>
      <w:r>
        <w:rPr>
          <w:b w:val="0"/>
        </w:rPr>
        <w:t xml:space="preserve">The Subcontractor shall maintain until completion of the defects liability period: third-party liability insurance of at least ETB </w:t>
      </w:r>
      <w:r>
        <w:rPr>
          <w:b w:val="0"/>
          <w:highlight w:val="yellow"/>
        </w:rPr>
        <w:t>[__________]</w:t>
      </w:r>
      <w:r>
        <w:rPr>
          <w:b w:val="0"/>
        </w:rPr>
        <w:t>, insurance for its employees as required by law, and insurance of its own plant and materials.</w:t>
      </w:r>
    </w:p>
    <w:p>
      <w:pPr>
        <w:tabs>
          <w:tab w:pos="624" w:val="left"/>
        </w:tabs>
        <w:ind w:left="624" w:hanging="624"/>
        <w:jc w:val="both"/>
      </w:pPr>
      <w:r>
        <w:rPr>
          <w:b w:val="0"/>
        </w:rPr>
        <w:t>9.2</w:t>
        <w:tab/>
      </w:r>
      <w:r>
        <w:rPr>
          <w:b w:val="0"/>
        </w:rPr>
        <w:t xml:space="preserve">The Subcontractor shall give a performance guarantee of </w:t>
      </w:r>
      <w:r>
        <w:rPr>
          <w:b w:val="0"/>
          <w:highlight w:val="yellow"/>
        </w:rPr>
        <w:t>[__]</w:t>
      </w:r>
      <w:r>
        <w:rPr>
          <w:b w:val="0"/>
        </w:rPr>
        <w:t xml:space="preserve">% of the Subcontract Price within </w:t>
      </w:r>
      <w:r>
        <w:rPr>
          <w:b w:val="0"/>
          <w:highlight w:val="yellow"/>
        </w:rPr>
        <w:t>[__]</w:t>
      </w:r>
      <w:r>
        <w:rPr>
          <w:b w:val="0"/>
        </w:rPr>
        <w:t xml:space="preserve"> days of signature </w:t>
      </w:r>
      <w:r>
        <w:rPr>
          <w:b w:val="0"/>
          <w:highlight w:val="yellow"/>
        </w:rPr>
        <w:t>[delete if not required]</w:t>
      </w:r>
      <w:r>
        <w:rPr>
          <w:b w:val="0"/>
        </w:rPr>
        <w:t>.</w:t>
      </w:r>
    </w:p>
    <w:p>
      <w:pPr>
        <w:keepNext/>
        <w:spacing w:before="240" w:after="80"/>
      </w:pPr>
      <w:r>
        <w:rPr>
          <w:b/>
          <w:color w:val="141C2E"/>
          <w:sz w:val="22"/>
        </w:rPr>
        <w:t>10.  DEFECTS LIABILITY</w:t>
      </w:r>
    </w:p>
    <w:p>
      <w:pPr>
        <w:tabs>
          <w:tab w:pos="624" w:val="left"/>
        </w:tabs>
        <w:ind w:left="624" w:hanging="624"/>
        <w:jc w:val="both"/>
      </w:pPr>
      <w:r>
        <w:rPr>
          <w:b w:val="0"/>
        </w:rPr>
        <w:t>10.1</w:t>
        <w:tab/>
      </w:r>
      <w:r>
        <w:rPr>
          <w:b w:val="0"/>
        </w:rPr>
        <w:t xml:space="preserve">The defects liability period is </w:t>
      </w:r>
      <w:r>
        <w:rPr>
          <w:b w:val="0"/>
          <w:highlight w:val="yellow"/>
        </w:rPr>
        <w:t>[12]</w:t>
      </w:r>
      <w:r>
        <w:rPr>
          <w:b w:val="0"/>
        </w:rPr>
        <w:t xml:space="preserve"> months from the date the Subcontract Works are accepted by the Contractor (or, if later, the date of the Main Contract’s taking-over for the relevant part).</w:t>
      </w:r>
    </w:p>
    <w:p>
      <w:pPr>
        <w:tabs>
          <w:tab w:pos="624" w:val="left"/>
        </w:tabs>
        <w:ind w:left="624" w:hanging="624"/>
        <w:jc w:val="both"/>
      </w:pPr>
      <w:r>
        <w:rPr>
          <w:b w:val="0"/>
        </w:rPr>
        <w:t>10.2</w:t>
        <w:tab/>
      </w:r>
      <w:r>
        <w:rPr>
          <w:b w:val="0"/>
        </w:rPr>
        <w:t>The Subcontractor shall remedy, at its own cost and promptly, any defect in the Subcontract Works appearing during that period. If it fails to do so, the Contractor may have the defect remedied by others and recover the cost.</w:t>
      </w:r>
    </w:p>
    <w:p>
      <w:pPr>
        <w:keepNext/>
        <w:spacing w:before="240" w:after="80"/>
      </w:pPr>
      <w:r>
        <w:rPr>
          <w:b/>
          <w:color w:val="141C2E"/>
          <w:sz w:val="22"/>
        </w:rPr>
        <w:t>11.  LIABILITY AND INDEMNITY</w:t>
      </w:r>
    </w:p>
    <w:p>
      <w:pPr>
        <w:tabs>
          <w:tab w:pos="624" w:val="left"/>
        </w:tabs>
        <w:ind w:left="624" w:hanging="624"/>
        <w:jc w:val="both"/>
      </w:pPr>
      <w:r>
        <w:rPr>
          <w:b w:val="0"/>
        </w:rPr>
        <w:t>11.1</w:t>
        <w:tab/>
      </w:r>
      <w:r>
        <w:rPr>
          <w:b w:val="0"/>
        </w:rPr>
        <w:t>The Subcontractor shall indemnify the Contractor against claims, loss and expenses arising from death, injury, or property damage caused by the Subcontractor’s work or negligence, and against any amount the Contractor is liable to pay the Employer because of the Subcontractor’s breach.</w:t>
      </w:r>
    </w:p>
    <w:p>
      <w:pPr>
        <w:tabs>
          <w:tab w:pos="624" w:val="left"/>
        </w:tabs>
        <w:ind w:left="624" w:hanging="624"/>
        <w:jc w:val="both"/>
      </w:pPr>
      <w:r>
        <w:rPr>
          <w:b w:val="0"/>
        </w:rPr>
        <w:t>11.2</w:t>
        <w:tab/>
      </w:r>
      <w:r>
        <w:rPr>
          <w:b w:val="0"/>
        </w:rPr>
        <w:t>Neither party is liable to the other for indirect or consequential loss such as loss of profit, except for wilful misconduct or gross negligence.</w:t>
      </w:r>
    </w:p>
    <w:p>
      <w:pPr>
        <w:keepNext/>
        <w:spacing w:before="240" w:after="80"/>
      </w:pPr>
      <w:r>
        <w:rPr>
          <w:b/>
          <w:color w:val="141C2E"/>
          <w:sz w:val="22"/>
        </w:rPr>
        <w:t>12.  SUSPENSION AND TERMINATION</w:t>
      </w:r>
    </w:p>
    <w:p>
      <w:pPr>
        <w:tabs>
          <w:tab w:pos="624" w:val="left"/>
        </w:tabs>
        <w:ind w:left="624" w:hanging="624"/>
        <w:jc w:val="both"/>
      </w:pPr>
      <w:r>
        <w:rPr>
          <w:b w:val="0"/>
        </w:rPr>
        <w:t>12.1</w:t>
        <w:tab/>
      </w:r>
      <w:r>
        <w:rPr>
          <w:b w:val="0"/>
        </w:rPr>
        <w:t xml:space="preserve">The Contractor may terminate this Agreement by written notice if the Subcontractor: fails to proceed with due diligence; abandons the Subcontract Works; persistently or materially breaches this Agreement and does not remedy it within </w:t>
      </w:r>
      <w:r>
        <w:rPr>
          <w:b w:val="0"/>
          <w:highlight w:val="yellow"/>
        </w:rPr>
        <w:t>[7]</w:t>
      </w:r>
      <w:r>
        <w:rPr>
          <w:b w:val="0"/>
        </w:rPr>
        <w:t xml:space="preserve"> days of a written notice; or becomes insolvent. The Contractor may then complete the work with others and recover the extra cost from the Subcontractor.</w:t>
      </w:r>
    </w:p>
    <w:p>
      <w:pPr>
        <w:tabs>
          <w:tab w:pos="624" w:val="left"/>
        </w:tabs>
        <w:ind w:left="624" w:hanging="624"/>
        <w:jc w:val="both"/>
      </w:pPr>
      <w:r>
        <w:rPr>
          <w:b w:val="0"/>
        </w:rPr>
        <w:t>12.2</w:t>
        <w:tab/>
      </w:r>
      <w:r>
        <w:rPr>
          <w:b w:val="0"/>
        </w:rPr>
        <w:t xml:space="preserve">The Subcontractor may terminate by written notice if the Contractor fails to pay an undisputed certified amount within </w:t>
      </w:r>
      <w:r>
        <w:rPr>
          <w:b w:val="0"/>
          <w:highlight w:val="yellow"/>
        </w:rPr>
        <w:t>[30]</w:t>
      </w:r>
      <w:r>
        <w:rPr>
          <w:b w:val="0"/>
        </w:rPr>
        <w:t xml:space="preserve"> days after it falls due and a further </w:t>
      </w:r>
      <w:r>
        <w:rPr>
          <w:b w:val="0"/>
          <w:highlight w:val="yellow"/>
        </w:rPr>
        <w:t>[14]</w:t>
      </w:r>
      <w:r>
        <w:rPr>
          <w:b w:val="0"/>
        </w:rPr>
        <w:t xml:space="preserve"> days’ written notice.</w:t>
      </w:r>
    </w:p>
    <w:p>
      <w:pPr>
        <w:tabs>
          <w:tab w:pos="624" w:val="left"/>
        </w:tabs>
        <w:ind w:left="624" w:hanging="624"/>
        <w:jc w:val="both"/>
      </w:pPr>
      <w:r>
        <w:rPr>
          <w:b w:val="0"/>
        </w:rPr>
        <w:t>12.3</w:t>
        <w:tab/>
      </w:r>
      <w:r>
        <w:rPr>
          <w:b w:val="0"/>
        </w:rPr>
        <w:t>If the Main Contract is terminated for a reason not caused by the Subcontractor, this Agreement ends and the Subcontractor shall be paid for work done and reasonable demobilisation costs.</w:t>
      </w:r>
    </w:p>
    <w:p>
      <w:pPr>
        <w:tabs>
          <w:tab w:pos="624" w:val="left"/>
        </w:tabs>
        <w:ind w:left="624" w:hanging="624"/>
        <w:jc w:val="both"/>
      </w:pPr>
      <w:r>
        <w:rPr>
          <w:b w:val="0"/>
        </w:rPr>
        <w:t>12.4</w:t>
        <w:tab/>
      </w:r>
      <w:r>
        <w:rPr>
          <w:b w:val="0"/>
        </w:rPr>
        <w:t>On termination the Subcontractor shall leave the Site safe, remove its equipment and hand over all completed work and records.</w:t>
      </w:r>
    </w:p>
    <w:p>
      <w:pPr>
        <w:keepNext/>
        <w:spacing w:before="240" w:after="80"/>
      </w:pPr>
      <w:r>
        <w:rPr>
          <w:b/>
          <w:color w:val="141C2E"/>
          <w:sz w:val="22"/>
        </w:rPr>
        <w:t>13.  FORCE MAJEURE</w:t>
      </w:r>
    </w:p>
    <w:p>
      <w:pPr>
        <w:tabs>
          <w:tab w:pos="624" w:val="left"/>
        </w:tabs>
        <w:ind w:left="624" w:hanging="624"/>
        <w:jc w:val="both"/>
      </w:pPr>
      <w:r>
        <w:rPr>
          <w:b w:val="0"/>
        </w:rPr>
        <w:t>13.1</w:t>
        <w:tab/>
      </w:r>
      <w:r>
        <w:rPr>
          <w:b w:val="0"/>
        </w:rPr>
        <w:t xml:space="preserve">A party prevented from performing by an exceptional event beyond its reasonable control (such as war, natural disaster, epidemic or government action) is not in breach to the extent of the prevention, provided that it notifies the other within </w:t>
      </w:r>
      <w:r>
        <w:rPr>
          <w:b w:val="0"/>
          <w:highlight w:val="yellow"/>
        </w:rPr>
        <w:t>[14]</w:t>
      </w:r>
      <w:r>
        <w:rPr>
          <w:b w:val="0"/>
        </w:rPr>
        <w:t xml:space="preserve"> days and limits the effects. Time shall be extended accordingly. Shortage of money and ordinary price increases are not force majeure.</w:t>
      </w:r>
    </w:p>
    <w:p>
      <w:pPr>
        <w:keepNext/>
        <w:spacing w:before="240" w:after="80"/>
      </w:pPr>
      <w:r>
        <w:rPr>
          <w:b/>
          <w:color w:val="141C2E"/>
          <w:sz w:val="22"/>
        </w:rPr>
        <w:t>14.  DISPUTES AND GOVERNING LAW</w:t>
      </w:r>
    </w:p>
    <w:p>
      <w:pPr>
        <w:tabs>
          <w:tab w:pos="624" w:val="left"/>
        </w:tabs>
        <w:ind w:left="624" w:hanging="624"/>
        <w:jc w:val="both"/>
      </w:pPr>
      <w:r>
        <w:rPr>
          <w:b w:val="0"/>
        </w:rPr>
        <w:t>14.1</w:t>
        <w:tab/>
      </w:r>
      <w:r>
        <w:rPr>
          <w:b w:val="0"/>
        </w:rPr>
        <w:t xml:space="preserve">The parties shall first try to settle any dispute amicably through meeting of senior representatives within </w:t>
      </w:r>
      <w:r>
        <w:rPr>
          <w:b w:val="0"/>
          <w:highlight w:val="yellow"/>
        </w:rPr>
        <w:t>[14]</w:t>
      </w:r>
      <w:r>
        <w:rPr>
          <w:b w:val="0"/>
        </w:rPr>
        <w:t xml:space="preserve"> days of a written notice of dispute.</w:t>
      </w:r>
    </w:p>
    <w:p>
      <w:pPr>
        <w:tabs>
          <w:tab w:pos="624" w:val="left"/>
        </w:tabs>
        <w:ind w:left="624" w:hanging="624"/>
        <w:jc w:val="both"/>
      </w:pPr>
      <w:r>
        <w:rPr>
          <w:b w:val="0"/>
        </w:rPr>
        <w:t>14.2</w:t>
        <w:tab/>
      </w:r>
      <w:r>
        <w:rPr>
          <w:b w:val="0"/>
        </w:rPr>
        <w:t xml:space="preserve">If not resolved within </w:t>
      </w:r>
      <w:r>
        <w:rPr>
          <w:b w:val="0"/>
          <w:highlight w:val="yellow"/>
        </w:rPr>
        <w:t>[28]</w:t>
      </w:r>
      <w:r>
        <w:rPr>
          <w:b w:val="0"/>
        </w:rPr>
        <w:t xml:space="preserve"> days, the dispute shall be finally settled by </w:t>
      </w:r>
      <w:r>
        <w:rPr>
          <w:b w:val="0"/>
          <w:highlight w:val="yellow"/>
        </w:rPr>
        <w:t>[arbitration under the rules of [__________]</w:t>
      </w:r>
      <w:r>
        <w:rPr>
          <w:b w:val="0"/>
        </w:rPr>
        <w:t xml:space="preserve">, seated in Addis Ababa] </w:t>
      </w:r>
      <w:r>
        <w:rPr>
          <w:b w:val="0"/>
          <w:highlight w:val="yellow"/>
        </w:rPr>
        <w:t>[OR: the competent courts of Addis Ababa, Ethiopia]</w:t>
      </w:r>
      <w:r>
        <w:rPr>
          <w:b w:val="0"/>
        </w:rPr>
        <w:t>.</w:t>
      </w:r>
    </w:p>
    <w:p>
      <w:pPr>
        <w:tabs>
          <w:tab w:pos="624" w:val="left"/>
        </w:tabs>
        <w:ind w:left="624" w:hanging="624"/>
        <w:jc w:val="both"/>
      </w:pPr>
      <w:r>
        <w:rPr>
          <w:b w:val="0"/>
        </w:rPr>
        <w:t>14.3</w:t>
        <w:tab/>
      </w:r>
      <w:r>
        <w:rPr>
          <w:b w:val="0"/>
        </w:rPr>
        <w:t>The Subcontractor shall continue the Subcontract Works during any dispute, and the Contractor shall continue to pay undisputed amounts.</w:t>
      </w:r>
    </w:p>
    <w:p>
      <w:pPr>
        <w:tabs>
          <w:tab w:pos="624" w:val="left"/>
        </w:tabs>
        <w:ind w:left="624" w:hanging="624"/>
        <w:jc w:val="both"/>
      </w:pPr>
      <w:r>
        <w:rPr>
          <w:b w:val="0"/>
        </w:rPr>
        <w:t>14.4</w:t>
        <w:tab/>
      </w:r>
      <w:r>
        <w:rPr>
          <w:b w:val="0"/>
        </w:rPr>
        <w:t>This Agreement is governed by the laws of the Federal Democratic Republic of Ethiopia.</w:t>
      </w:r>
    </w:p>
    <w:p>
      <w:pPr>
        <w:keepNext/>
        <w:spacing w:before="240" w:after="80"/>
      </w:pPr>
      <w:r>
        <w:rPr>
          <w:b/>
          <w:color w:val="141C2E"/>
          <w:sz w:val="22"/>
        </w:rPr>
        <w:t>15.  NOTICES, CONFIDENTIALITY AND GENERAL</w:t>
      </w:r>
    </w:p>
    <w:p>
      <w:pPr>
        <w:tabs>
          <w:tab w:pos="624" w:val="left"/>
        </w:tabs>
        <w:ind w:left="624" w:hanging="624"/>
        <w:jc w:val="both"/>
      </w:pPr>
      <w:r>
        <w:rPr>
          <w:b w:val="0"/>
        </w:rPr>
        <w:t>15.1</w:t>
        <w:tab/>
      </w:r>
      <w:r>
        <w:rPr>
          <w:b w:val="0"/>
        </w:rPr>
        <w:t xml:space="preserve">Notices shall be in writing and delivered by hand, courier or email with confirmation to: Contractor </w:t>
      </w:r>
      <w:r>
        <w:rPr>
          <w:b w:val="0"/>
          <w:highlight w:val="yellow"/>
        </w:rPr>
        <w:t>[address / email]</w:t>
      </w:r>
      <w:r>
        <w:rPr>
          <w:b w:val="0"/>
        </w:rPr>
        <w:t xml:space="preserve">; Subcontractor </w:t>
      </w:r>
      <w:r>
        <w:rPr>
          <w:b w:val="0"/>
          <w:highlight w:val="yellow"/>
        </w:rPr>
        <w:t>[address / email]</w:t>
      </w:r>
      <w:r>
        <w:rPr>
          <w:b w:val="0"/>
        </w:rPr>
        <w:t>.</w:t>
      </w:r>
    </w:p>
    <w:p>
      <w:pPr>
        <w:tabs>
          <w:tab w:pos="624" w:val="left"/>
        </w:tabs>
        <w:ind w:left="624" w:hanging="624"/>
        <w:jc w:val="both"/>
      </w:pPr>
      <w:r>
        <w:rPr>
          <w:b w:val="0"/>
        </w:rPr>
        <w:t>15.2</w:t>
        <w:tab/>
      </w:r>
      <w:r>
        <w:rPr>
          <w:b w:val="0"/>
        </w:rPr>
        <w:t>Each party shall keep the other’s non-public information and the terms of this Agreement confidential, except as required by law or for professional advisers, banks, insurers and the Employer.</w:t>
      </w:r>
    </w:p>
    <w:p>
      <w:pPr>
        <w:tabs>
          <w:tab w:pos="624" w:val="left"/>
        </w:tabs>
        <w:ind w:left="624" w:hanging="624"/>
        <w:jc w:val="both"/>
      </w:pPr>
      <w:r>
        <w:rPr>
          <w:b w:val="0"/>
        </w:rPr>
        <w:t>15.3</w:t>
        <w:tab/>
      </w:r>
      <w:r>
        <w:rPr>
          <w:b w:val="0"/>
        </w:rPr>
        <w:t>This Agreement is the whole agreement on its subject. It may be amended only in writing signed by both parties. Neither party may assign it without the other’s written consent. If any provision is invalid, the remainder stays in force. This Agreement may be signed in counterparts.</w:t>
      </w:r>
    </w:p>
    <w:p>
      <w:pPr>
        <w:spacing w:after="120"/>
      </w:pPr>
      <w:r>
        <w:rPr>
          <w:b/>
        </w:rPr>
        <w:t>IN WITNESS WHEREOF the parties have signed this Agreement on the date written at the beginning.</w:t>
      </w:r>
    </w:p>
    <w:p/>
    <w:tbl>
      <w:tblPr>
        <w:tblW w:type="auto" w:w="0"/>
        <w:tblLook w:firstColumn="1" w:firstRow="1" w:lastColumn="0" w:lastRow="0" w:noHBand="0" w:noVBand="1" w:val="04A0"/>
      </w:tblPr>
      <w:tblGrid>
        <w:gridCol w:w="4649"/>
        <w:gridCol w:w="4649"/>
      </w:tblGrid>
      <w:tr>
        <w:tc>
          <w:tcPr>
            <w:tcW w:type="dxa" w:w="4649"/>
          </w:tcPr>
          <w:p>
            <w:r/>
            <w:r>
              <w:rPr>
                <w:b/>
              </w:rPr>
              <w:t>the CONTRACTOR</w:t>
            </w:r>
          </w:p>
        </w:tc>
        <w:tc>
          <w:tcPr>
            <w:tcW w:type="dxa" w:w="4649"/>
          </w:tcPr>
          <w:p>
            <w:r/>
            <w:r>
              <w:rPr>
                <w:b/>
              </w:rPr>
              <w:t>the SUBCONTRACTOR</w:t>
            </w:r>
          </w:p>
        </w:tc>
      </w:tr>
      <w:tr>
        <w:tc>
          <w:tcPr>
            <w:tcW w:type="dxa" w:w="4649"/>
          </w:tcPr>
          <w:p>
            <w:r/>
            <w:r>
              <w:rPr>
                <w:b w:val="0"/>
              </w:rPr>
              <w:t xml:space="preserve">Name: </w:t>
            </w:r>
            <w:r>
              <w:rPr>
                <w:b w:val="0"/>
                <w:highlight w:val="yellow"/>
              </w:rPr>
              <w:t>[__________________]</w:t>
            </w:r>
          </w:p>
        </w:tc>
        <w:tc>
          <w:tcPr>
            <w:tcW w:type="dxa" w:w="4649"/>
          </w:tcPr>
          <w:p>
            <w:r/>
            <w:r>
              <w:rPr>
                <w:b w:val="0"/>
              </w:rPr>
              <w:t xml:space="preserve">Name: </w:t>
            </w:r>
            <w:r>
              <w:rPr>
                <w:b w:val="0"/>
                <w:highlight w:val="yellow"/>
              </w:rPr>
              <w:t>[__________________]</w:t>
            </w:r>
          </w:p>
        </w:tc>
      </w:tr>
      <w:tr>
        <w:tc>
          <w:tcPr>
            <w:tcW w:type="dxa" w:w="4649"/>
          </w:tcPr>
          <w:p>
            <w:r/>
            <w:r>
              <w:rPr>
                <w:b w:val="0"/>
              </w:rPr>
              <w:t xml:space="preserve">Title: </w:t>
            </w:r>
            <w:r>
              <w:rPr>
                <w:b w:val="0"/>
                <w:highlight w:val="yellow"/>
              </w:rPr>
              <w:t>[__________________]</w:t>
            </w:r>
          </w:p>
        </w:tc>
        <w:tc>
          <w:tcPr>
            <w:tcW w:type="dxa" w:w="4649"/>
          </w:tcPr>
          <w:p>
            <w:r/>
            <w:r>
              <w:rPr>
                <w:b w:val="0"/>
              </w:rPr>
              <w:t xml:space="preserve">Title: </w:t>
            </w:r>
            <w:r>
              <w:rPr>
                <w:b w:val="0"/>
                <w:highlight w:val="yellow"/>
              </w:rPr>
              <w:t>[__________________]</w:t>
            </w:r>
          </w:p>
        </w:tc>
      </w:tr>
      <w:tr>
        <w:tc>
          <w:tcPr>
            <w:tcW w:type="dxa" w:w="4649"/>
          </w:tcPr>
          <w:p>
            <w:r/>
            <w:r>
              <w:rPr>
                <w:b w:val="0"/>
              </w:rPr>
              <w:t>Signature: ______________________</w:t>
            </w:r>
          </w:p>
        </w:tc>
        <w:tc>
          <w:tcPr>
            <w:tcW w:type="dxa" w:w="4649"/>
          </w:tcPr>
          <w:p>
            <w:r/>
            <w:r>
              <w:rPr>
                <w:b w:val="0"/>
              </w:rPr>
              <w:t>Signature: ______________________</w:t>
            </w:r>
          </w:p>
        </w:tc>
      </w:tr>
      <w:tr>
        <w:tc>
          <w:tcPr>
            <w:tcW w:type="dxa" w:w="4649"/>
          </w:tcPr>
          <w:p>
            <w:r/>
            <w:r>
              <w:rPr>
                <w:b w:val="0"/>
              </w:rPr>
              <w:t xml:space="preserve">Date: </w:t>
            </w:r>
            <w:r>
              <w:rPr>
                <w:b w:val="0"/>
                <w:highlight w:val="yellow"/>
              </w:rPr>
              <w:t>[__ / __ / ____]</w:t>
            </w:r>
          </w:p>
        </w:tc>
        <w:tc>
          <w:tcPr>
            <w:tcW w:type="dxa" w:w="4649"/>
          </w:tcPr>
          <w:p>
            <w:r/>
            <w:r>
              <w:rPr>
                <w:b w:val="0"/>
              </w:rPr>
              <w:t xml:space="preserve">Date: </w:t>
            </w:r>
            <w:r>
              <w:rPr>
                <w:b w:val="0"/>
                <w:highlight w:val="yellow"/>
              </w:rPr>
              <w:t>[__ / __ / ____]</w:t>
            </w:r>
          </w:p>
        </w:tc>
      </w:tr>
      <w:tr>
        <w:tc>
          <w:tcPr>
            <w:tcW w:type="dxa" w:w="4649"/>
          </w:tcPr>
          <w:p>
            <w:r/>
            <w:r>
              <w:rPr>
                <w:b w:val="0"/>
              </w:rPr>
              <w:t>Witness: ____________________</w:t>
            </w:r>
          </w:p>
        </w:tc>
        <w:tc>
          <w:tcPr>
            <w:tcW w:type="dxa" w:w="4649"/>
          </w:tcPr>
          <w:p>
            <w:r/>
            <w:r>
              <w:rPr>
                <w:b w:val="0"/>
              </w:rPr>
              <w:t>Witness: ____________________</w:t>
            </w:r>
          </w:p>
        </w:tc>
      </w:tr>
    </w:tbl>
    <w:p>
      <w:r>
        <w:br w:type="page"/>
      </w:r>
    </w:p>
    <w:p>
      <w:pPr>
        <w:keepNext/>
        <w:spacing w:before="240" w:after="80"/>
      </w:pPr>
      <w:r>
        <w:rPr>
          <w:b/>
          <w:color w:val="141C2E"/>
          <w:sz w:val="22"/>
        </w:rPr>
        <w:t>S1.  SCHEDULE 1 — DESCRIPTION OF SUBCONTRACT WORKS</w:t>
      </w:r>
    </w:p>
    <w:p>
      <w:pPr>
        <w:spacing w:after="120"/>
      </w:pPr>
      <w:r>
        <w:rPr>
          <w:b w:val="0"/>
          <w:highlight w:val="yellow"/>
        </w:rPr>
        <w:t>[Describe the works, with reference to drawings, specification sections and Bill of Quantities items.]</w:t>
      </w:r>
    </w:p>
    <w:p>
      <w:pPr>
        <w:keepNext/>
        <w:spacing w:before="240" w:after="80"/>
      </w:pPr>
      <w:r>
        <w:rPr>
          <w:b/>
          <w:color w:val="141C2E"/>
          <w:sz w:val="22"/>
        </w:rPr>
        <w:t>S2.  SCHEDULE 2 — PROGRAMME</w:t>
      </w:r>
    </w:p>
    <w:tbl>
      <w:tblPr>
        <w:tblStyle w:val="TableGrid"/>
        <w:tblW w:type="auto" w:w="0"/>
        <w:tblLook w:firstColumn="1" w:firstRow="1" w:lastColumn="0" w:lastRow="0" w:noHBand="0" w:noVBand="1" w:val="04A0"/>
      </w:tblPr>
      <w:tblGrid>
        <w:gridCol w:w="3099"/>
        <w:gridCol w:w="3099"/>
        <w:gridCol w:w="3099"/>
      </w:tblGrid>
      <w:tr>
        <w:tc>
          <w:tcPr>
            <w:tcW w:type="dxa" w:w="5102"/>
            <w:shd w:val="clear" w:fill="DFE2DB"/>
          </w:tcPr>
          <w:p>
            <w:r/>
            <w:r>
              <w:rPr>
                <w:b/>
              </w:rPr>
              <w:t>Activity</w:t>
            </w:r>
          </w:p>
        </w:tc>
        <w:tc>
          <w:tcPr>
            <w:tcW w:type="dxa" w:w="2098"/>
            <w:shd w:val="clear" w:fill="DFE2DB"/>
          </w:tcPr>
          <w:p>
            <w:r/>
            <w:r>
              <w:rPr>
                <w:b/>
              </w:rPr>
              <w:t>Start</w:t>
            </w:r>
          </w:p>
        </w:tc>
        <w:tc>
          <w:tcPr>
            <w:tcW w:type="dxa" w:w="2098"/>
            <w:shd w:val="clear" w:fill="DFE2DB"/>
          </w:tcPr>
          <w:p>
            <w:r/>
            <w:r>
              <w:rPr>
                <w:b/>
              </w:rPr>
              <w:t>Finish</w:t>
            </w:r>
          </w:p>
        </w:tc>
      </w:tr>
      <w:tr>
        <w:tc>
          <w:tcPr>
            <w:tcW w:type="dxa" w:w="5102"/>
          </w:tcPr>
          <w:p>
            <w:r/>
            <w:r>
              <w:rPr>
                <w:b w:val="0"/>
                <w:highlight w:val="yellow"/>
              </w:rPr>
              <w:t>[____]</w:t>
            </w:r>
          </w:p>
        </w:tc>
        <w:tc>
          <w:tcPr>
            <w:tcW w:type="dxa" w:w="2098"/>
          </w:tcPr>
          <w:p>
            <w:r/>
            <w:r>
              <w:rPr>
                <w:b w:val="0"/>
                <w:highlight w:val="yellow"/>
              </w:rPr>
              <w:t>[__/__/____]</w:t>
            </w:r>
          </w:p>
        </w:tc>
        <w:tc>
          <w:tcPr>
            <w:tcW w:type="dxa" w:w="2098"/>
          </w:tcPr>
          <w:p>
            <w:r/>
            <w:r>
              <w:rPr>
                <w:b w:val="0"/>
                <w:highlight w:val="yellow"/>
              </w:rPr>
              <w:t>[__/__/____]</w:t>
            </w:r>
          </w:p>
        </w:tc>
      </w:tr>
      <w:tr>
        <w:tc>
          <w:tcPr>
            <w:tcW w:type="dxa" w:w="5102"/>
          </w:tcPr>
          <w:p>
            <w:r/>
            <w:r>
              <w:rPr>
                <w:b w:val="0"/>
                <w:highlight w:val="yellow"/>
              </w:rPr>
              <w:t>[____]</w:t>
            </w:r>
          </w:p>
        </w:tc>
        <w:tc>
          <w:tcPr>
            <w:tcW w:type="dxa" w:w="2098"/>
          </w:tcPr>
          <w:p>
            <w:r/>
            <w:r>
              <w:rPr>
                <w:b w:val="0"/>
                <w:highlight w:val="yellow"/>
              </w:rPr>
              <w:t>[__/__/____]</w:t>
            </w:r>
          </w:p>
        </w:tc>
        <w:tc>
          <w:tcPr>
            <w:tcW w:type="dxa" w:w="2098"/>
          </w:tcPr>
          <w:p>
            <w:r/>
            <w:r>
              <w:rPr>
                <w:b w:val="0"/>
                <w:highlight w:val="yellow"/>
              </w:rPr>
              <w:t>[__/__/____]</w:t>
            </w:r>
          </w:p>
        </w:tc>
      </w:tr>
      <w:tr>
        <w:tc>
          <w:tcPr>
            <w:tcW w:type="dxa" w:w="5102"/>
          </w:tcPr>
          <w:p>
            <w:r/>
            <w:r>
              <w:rPr>
                <w:b w:val="0"/>
                <w:highlight w:val="yellow"/>
              </w:rPr>
              <w:t>[____]</w:t>
            </w:r>
          </w:p>
        </w:tc>
        <w:tc>
          <w:tcPr>
            <w:tcW w:type="dxa" w:w="2098"/>
          </w:tcPr>
          <w:p>
            <w:r/>
            <w:r>
              <w:rPr>
                <w:b w:val="0"/>
                <w:highlight w:val="yellow"/>
              </w:rPr>
              <w:t>[__/__/____]</w:t>
            </w:r>
          </w:p>
        </w:tc>
        <w:tc>
          <w:tcPr>
            <w:tcW w:type="dxa" w:w="2098"/>
          </w:tcPr>
          <w:p>
            <w:r/>
            <w:r>
              <w:rPr>
                <w:b w:val="0"/>
                <w:highlight w:val="yellow"/>
              </w:rPr>
              <w:t>[__/__/____]</w:t>
            </w:r>
          </w:p>
        </w:tc>
      </w:tr>
    </w:tbl>
    <w:p/>
    <w:p>
      <w:pPr>
        <w:keepNext/>
        <w:spacing w:before="240" w:after="80"/>
      </w:pPr>
      <w:r>
        <w:rPr>
          <w:b/>
          <w:color w:val="141C2E"/>
          <w:sz w:val="22"/>
        </w:rPr>
        <w:t>S3.  SCHEDULE 3 — RATES / PRICE BREAKDOWN</w:t>
      </w:r>
    </w:p>
    <w:tbl>
      <w:tblPr>
        <w:tblStyle w:val="TableGrid"/>
        <w:tblW w:type="auto" w:w="0"/>
        <w:tblLook w:firstColumn="1" w:firstRow="1" w:lastColumn="0" w:lastRow="0" w:noHBand="0" w:noVBand="1" w:val="04A0"/>
      </w:tblPr>
      <w:tblGrid>
        <w:gridCol w:w="1550"/>
        <w:gridCol w:w="1550"/>
        <w:gridCol w:w="1550"/>
        <w:gridCol w:w="1550"/>
        <w:gridCol w:w="1550"/>
        <w:gridCol w:w="1550"/>
      </w:tblGrid>
      <w:tr>
        <w:tc>
          <w:tcPr>
            <w:tcW w:type="dxa" w:w="850"/>
            <w:shd w:val="clear" w:fill="DFE2DB"/>
          </w:tcPr>
          <w:p>
            <w:r/>
            <w:r>
              <w:rPr>
                <w:b/>
              </w:rPr>
              <w:t>Item</w:t>
            </w:r>
          </w:p>
        </w:tc>
        <w:tc>
          <w:tcPr>
            <w:tcW w:type="dxa" w:w="3402"/>
            <w:shd w:val="clear" w:fill="DFE2DB"/>
          </w:tcPr>
          <w:p>
            <w:r/>
            <w:r>
              <w:rPr>
                <w:b/>
              </w:rPr>
              <w:t>Description</w:t>
            </w:r>
          </w:p>
        </w:tc>
        <w:tc>
          <w:tcPr>
            <w:tcW w:type="dxa" w:w="850"/>
            <w:shd w:val="clear" w:fill="DFE2DB"/>
          </w:tcPr>
          <w:p>
            <w:r/>
            <w:r>
              <w:rPr>
                <w:b/>
              </w:rPr>
              <w:t>Unit</w:t>
            </w:r>
          </w:p>
        </w:tc>
        <w:tc>
          <w:tcPr>
            <w:tcW w:type="dxa" w:w="1020"/>
            <w:shd w:val="clear" w:fill="DFE2DB"/>
          </w:tcPr>
          <w:p>
            <w:r/>
            <w:r>
              <w:rPr>
                <w:b/>
              </w:rPr>
              <w:t>Qty</w:t>
            </w:r>
          </w:p>
        </w:tc>
        <w:tc>
          <w:tcPr>
            <w:tcW w:type="dxa" w:w="1587"/>
            <w:shd w:val="clear" w:fill="DFE2DB"/>
          </w:tcPr>
          <w:p>
            <w:r/>
            <w:r>
              <w:rPr>
                <w:b/>
              </w:rPr>
              <w:t>Rate (ETB)</w:t>
            </w:r>
          </w:p>
        </w:tc>
        <w:tc>
          <w:tcPr>
            <w:tcW w:type="dxa" w:w="1587"/>
            <w:shd w:val="clear" w:fill="DFE2DB"/>
          </w:tcPr>
          <w:p>
            <w:r/>
            <w:r>
              <w:rPr>
                <w:b/>
              </w:rPr>
              <w:t>Amount (ETB)</w:t>
            </w:r>
          </w:p>
        </w:tc>
      </w:tr>
      <w:tr>
        <w:tc>
          <w:tcPr>
            <w:tcW w:type="dxa" w:w="850"/>
          </w:tcPr>
          <w:p>
            <w:r/>
            <w:r>
              <w:rPr>
                <w:b w:val="0"/>
                <w:highlight w:val="yellow"/>
              </w:rPr>
              <w:t>[__]</w:t>
            </w:r>
          </w:p>
        </w:tc>
        <w:tc>
          <w:tcPr>
            <w:tcW w:type="dxa" w:w="3402"/>
          </w:tcPr>
          <w:p>
            <w:r/>
            <w:r>
              <w:rPr>
                <w:b w:val="0"/>
                <w:highlight w:val="yellow"/>
              </w:rPr>
              <w:t>[________]</w:t>
            </w:r>
          </w:p>
        </w:tc>
        <w:tc>
          <w:tcPr>
            <w:tcW w:type="dxa" w:w="850"/>
          </w:tcPr>
          <w:p>
            <w:r/>
            <w:r>
              <w:rPr>
                <w:b w:val="0"/>
                <w:highlight w:val="yellow"/>
              </w:rPr>
              <w:t>[__]</w:t>
            </w:r>
          </w:p>
        </w:tc>
        <w:tc>
          <w:tcPr>
            <w:tcW w:type="dxa" w:w="1020"/>
          </w:tcPr>
          <w:p>
            <w:r/>
            <w:r>
              <w:rPr>
                <w:b w:val="0"/>
                <w:highlight w:val="yellow"/>
              </w:rPr>
              <w:t>[__]</w:t>
            </w:r>
          </w:p>
        </w:tc>
        <w:tc>
          <w:tcPr>
            <w:tcW w:type="dxa" w:w="1587"/>
          </w:tcPr>
          <w:p>
            <w:r/>
            <w:r>
              <w:rPr>
                <w:b w:val="0"/>
                <w:highlight w:val="yellow"/>
              </w:rPr>
              <w:t>[__]</w:t>
            </w:r>
          </w:p>
        </w:tc>
        <w:tc>
          <w:tcPr>
            <w:tcW w:type="dxa" w:w="1587"/>
          </w:tcPr>
          <w:p>
            <w:r/>
            <w:r>
              <w:rPr>
                <w:b w:val="0"/>
                <w:highlight w:val="yellow"/>
              </w:rPr>
              <w:t>[__]</w:t>
            </w:r>
          </w:p>
        </w:tc>
      </w:tr>
      <w:tr>
        <w:tc>
          <w:tcPr>
            <w:tcW w:type="dxa" w:w="850"/>
          </w:tcPr>
          <w:p>
            <w:r/>
            <w:r>
              <w:rPr>
                <w:b w:val="0"/>
                <w:highlight w:val="yellow"/>
              </w:rPr>
              <w:t>[__]</w:t>
            </w:r>
          </w:p>
        </w:tc>
        <w:tc>
          <w:tcPr>
            <w:tcW w:type="dxa" w:w="3402"/>
          </w:tcPr>
          <w:p>
            <w:r/>
            <w:r>
              <w:rPr>
                <w:b w:val="0"/>
                <w:highlight w:val="yellow"/>
              </w:rPr>
              <w:t>[________]</w:t>
            </w:r>
          </w:p>
        </w:tc>
        <w:tc>
          <w:tcPr>
            <w:tcW w:type="dxa" w:w="850"/>
          </w:tcPr>
          <w:p>
            <w:r/>
            <w:r>
              <w:rPr>
                <w:b w:val="0"/>
                <w:highlight w:val="yellow"/>
              </w:rPr>
              <w:t>[__]</w:t>
            </w:r>
          </w:p>
        </w:tc>
        <w:tc>
          <w:tcPr>
            <w:tcW w:type="dxa" w:w="1020"/>
          </w:tcPr>
          <w:p>
            <w:r/>
            <w:r>
              <w:rPr>
                <w:b w:val="0"/>
                <w:highlight w:val="yellow"/>
              </w:rPr>
              <w:t>[__]</w:t>
            </w:r>
          </w:p>
        </w:tc>
        <w:tc>
          <w:tcPr>
            <w:tcW w:type="dxa" w:w="1587"/>
          </w:tcPr>
          <w:p>
            <w:r/>
            <w:r>
              <w:rPr>
                <w:b w:val="0"/>
                <w:highlight w:val="yellow"/>
              </w:rPr>
              <w:t>[__]</w:t>
            </w:r>
          </w:p>
        </w:tc>
        <w:tc>
          <w:tcPr>
            <w:tcW w:type="dxa" w:w="1587"/>
          </w:tcPr>
          <w:p>
            <w:r/>
            <w:r>
              <w:rPr>
                <w:b w:val="0"/>
                <w:highlight w:val="yellow"/>
              </w:rPr>
              <w:t>[__]</w:t>
            </w:r>
          </w:p>
        </w:tc>
      </w:tr>
    </w:tbl>
    <w:p/>
    <w:p>
      <w:pPr>
        <w:keepNext/>
        <w:spacing w:before="240" w:after="80"/>
      </w:pPr>
      <w:r>
        <w:rPr>
          <w:b/>
          <w:color w:val="141C2E"/>
          <w:sz w:val="22"/>
        </w:rPr>
        <w:t>S4.  SCHEDULE 4 — FACILITIES PROVIDED BY THE CONTRACTOR</w:t>
      </w:r>
    </w:p>
    <w:p>
      <w:pPr>
        <w:spacing w:after="120"/>
      </w:pPr>
      <w:r>
        <w:rPr>
          <w:b w:val="0"/>
          <w:highlight w:val="yellow"/>
        </w:rPr>
        <w:t>[For example: site access, storage area, water, electricity, hoisting equipment, scaffolding — and whether charged.]</w:t>
      </w:r>
    </w:p>
    <w:sectPr w:rsidR="00FC693F" w:rsidRPr="0006063C" w:rsidSect="00034616">
      <w:headerReference w:type="default" r:id="rId9"/>
      <w:footerReference w:type="default" r:id="rId10"/>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B79"/>
        <w:sz w:val="16"/>
      </w:rPr>
      <w:t>Subcontract Agreement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