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BE8EBAB" wp14:editId="11A5F117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6FDA" w:rsidRDefault="00C76FDA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8EBA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C76FDA" w:rsidRDefault="00C76FDA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rPr>
          <w:sz w:val="10"/>
        </w:rPr>
      </w:pPr>
    </w:p>
    <w:p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261EBD66" wp14:editId="0454B4D2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spacing w:before="6"/>
        <w:rPr>
          <w:sz w:val="20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№2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Pr="00C76FDA">
        <w:rPr>
          <w:rFonts w:eastAsia="Times New Roman"/>
          <w:color w:val="000000"/>
          <w:szCs w:val="23"/>
          <w:lang w:eastAsia="ru-RU"/>
        </w:rPr>
        <w:t>Преобразования грамматик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C76FDA" w:rsidRDefault="00C76FDA" w:rsidP="00C76FDA"/>
    <w:p w:rsidR="00C76FDA" w:rsidRDefault="00C76FDA" w:rsidP="00C76FDA"/>
    <w:p w:rsidR="00C76FDA" w:rsidRDefault="00C76FDA" w:rsidP="00C76FDA"/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bookmarkStart w:id="0" w:name="_GoBack"/>
      <w:bookmarkEnd w:id="0"/>
      <w:r w:rsidR="00C76FDA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val="en-US"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:rsidR="00C76FDA" w:rsidRDefault="00C76FDA" w:rsidP="00C76FDA"/>
    <w:p w:rsidR="00C76FDA" w:rsidRDefault="00C76FDA" w:rsidP="00C76FDA"/>
    <w:p w:rsidR="00C76FDA" w:rsidRDefault="00C76FDA" w:rsidP="00C76FDA">
      <w:pPr>
        <w:jc w:val="center"/>
      </w:pPr>
    </w:p>
    <w:p w:rsidR="0078788B" w:rsidRDefault="00C76FDA" w:rsidP="00C76FDA">
      <w:pPr>
        <w:ind w:left="2831"/>
      </w:pPr>
      <w:r>
        <w:t xml:space="preserve">  Москва 2022</w:t>
      </w:r>
    </w:p>
    <w:sectPr w:rsidR="007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A"/>
    <w:rsid w:val="00506D1D"/>
    <w:rsid w:val="005A3977"/>
    <w:rsid w:val="00C76FDA"/>
    <w:rsid w:val="00D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A517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>SPecialiST RePack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2022-06-02T09:04:00Z</dcterms:created>
  <dcterms:modified xsi:type="dcterms:W3CDTF">2022-06-02T09:09:00Z</dcterms:modified>
</cp:coreProperties>
</file>