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2e"/>
          <w:sz w:val="48"/>
          <w:szCs w:val="48"/>
        </w:rPr>
        <w:t xml:space="preserve">CARAMELLABRUNEI.COM</w:t>
      </w:r>
    </w:p>
    <w:p>
      <w:pPr>
        <w:spacing w:after="80"/>
      </w:pPr>
      <w:r>
        <w:rPr>
          <w:rFonts w:ascii="Arial" w:cs="Arial" w:eastAsia="Arial" w:hAnsi="Arial"/>
          <w:color w:val="555555"/>
          <w:sz w:val="28"/>
          <w:szCs w:val="28"/>
        </w:rPr>
        <w:t xml:space="preserve">Full Site Audit Report</w:t>
      </w:r>
    </w:p>
    <w:p>
      <w:pPr>
        <w:spacing w:after="240"/>
      </w:pPr>
      <w:r>
        <w:rPr>
          <w:rFonts w:ascii="Arial" w:cs="Arial" w:eastAsia="Arial" w:hAnsi="Arial"/>
          <w:color w:val="888888"/>
          <w:sz w:val="18"/>
          <w:szCs w:val="18"/>
        </w:rPr>
        <w:t xml:space="preserve">Prepared: 4 March 2026  •  Scope: SEO, AI Discoverability, Content, Technical, UX</w:t>
      </w:r>
    </w:p>
    <w:p>
      <w:pPr>
        <w:pBdr>
          <w:bottom w:val="single" w:color="CCCCCC" w:sz="4" w:space="1"/>
        </w:pBdr>
        <w:spacing w:before="160" w:after="160"/>
      </w:pPr>
    </w:p>
    <w:p>
      <w:pPr>
        <w:pStyle w:val="Heading1"/>
        <w:spacing w:before="360" w:after="160"/>
      </w:pPr>
      <w:r>
        <w:rPr>
          <w:rFonts w:ascii="Arial" w:cs="Arial" w:eastAsia="Arial" w:hAnsi="Arial"/>
          <w:b/>
          <w:bCs/>
          <w:sz w:val="36"/>
          <w:szCs w:val="36"/>
        </w:rPr>
        <w:t xml:space="preserve">Executive Summary</w:t>
      </w:r>
    </w:p>
    <w:p>
      <w:pPr>
        <w:spacing w:after="120"/>
      </w:pPr>
      <w:r>
        <w:rPr>
          <w:rFonts w:ascii="Arial" w:cs="Arial" w:eastAsia="Arial" w:hAnsi="Arial"/>
          <w:sz w:val="20"/>
          <w:szCs w:val="20"/>
        </w:rPr>
        <w:t xml:space="preserve">The site is well-built for a static HTML/CSS/JS stack and demonstrates above-average AI-discoverability engineering. The llms.txt, robots.txt, and business.json are well-crafted. However, 12 specific defects were found across critical, medium, and minor severity — including one broken AI endpoint that directly undermines discoverability, one data integrity error in the JSON schema, and several content inconsistencies that erode trust signals.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4F7" w:val="clear"/>
            <w:tcMar>
              <w:top w:type="dxa" w:w="120"/>
              <w:left w:type="dxa" w:w="160"/>
              <w:bottom w:type="dxa" w:w="120"/>
              <w:right w:type="dxa" w:w="160"/>
            </w:tcMar>
          </w:tcPr>
          <w:p>
            <w:pPr>
              <w:jc w:val="center"/>
            </w:pPr>
            <w:r>
              <w:rPr>
                <w:rFonts w:ascii="Arial" w:cs="Arial" w:eastAsia="Arial" w:hAnsi="Arial"/>
                <w:b/>
                <w:bCs/>
                <w:color w:val="1a1a2e"/>
                <w:sz w:val="32"/>
                <w:szCs w:val="32"/>
              </w:rPr>
              <w:t xml:space="preserve">7.5 / 10</w:t>
            </w:r>
          </w:p>
          <w:p>
            <w:pPr>
              <w:jc w:val="center"/>
            </w:pPr>
            <w:r>
              <w:rPr>
                <w:rFonts w:ascii="Arial" w:cs="Arial" w:eastAsia="Arial" w:hAnsi="Arial"/>
                <w:color w:val="666666"/>
                <w:sz w:val="16"/>
                <w:szCs w:val="16"/>
              </w:rPr>
              <w:t xml:space="preserve">AI Discoverability</w:t>
            </w:r>
          </w:p>
        </w:tc>
        <w:tc>
          <w:tcPr>
            <w:tcW w:type="dxa" w:w="2340"/>
            <w:tcBorders>
              <w:top w:val="single" w:color="DDDDDD" w:sz="1"/>
              <w:left w:val="single" w:color="DDDDDD" w:sz="1"/>
              <w:bottom w:val="single" w:color="DDDDDD" w:sz="1"/>
              <w:right w:val="single" w:color="DDDDDD" w:sz="1"/>
            </w:tcBorders>
            <w:shd w:fill="F2F4F7" w:val="clear"/>
            <w:tcMar>
              <w:top w:type="dxa" w:w="120"/>
              <w:left w:type="dxa" w:w="160"/>
              <w:bottom w:type="dxa" w:w="120"/>
              <w:right w:type="dxa" w:w="160"/>
            </w:tcMar>
          </w:tcPr>
          <w:p>
            <w:pPr>
              <w:jc w:val="center"/>
            </w:pPr>
            <w:r>
              <w:rPr>
                <w:rFonts w:ascii="Arial" w:cs="Arial" w:eastAsia="Arial" w:hAnsi="Arial"/>
                <w:b/>
                <w:bCs/>
                <w:color w:val="1a1a2e"/>
                <w:sz w:val="32"/>
                <w:szCs w:val="32"/>
              </w:rPr>
              <w:t xml:space="preserve">8 / 10</w:t>
            </w:r>
          </w:p>
          <w:p>
            <w:pPr>
              <w:jc w:val="center"/>
            </w:pPr>
            <w:r>
              <w:rPr>
                <w:rFonts w:ascii="Arial" w:cs="Arial" w:eastAsia="Arial" w:hAnsi="Arial"/>
                <w:color w:val="666666"/>
                <w:sz w:val="16"/>
                <w:szCs w:val="16"/>
              </w:rPr>
              <w:t xml:space="preserve">Technical Health</w:t>
            </w:r>
          </w:p>
        </w:tc>
        <w:tc>
          <w:tcPr>
            <w:tcW w:type="dxa" w:w="2340"/>
            <w:tcBorders>
              <w:top w:val="single" w:color="DDDDDD" w:sz="1"/>
              <w:left w:val="single" w:color="DDDDDD" w:sz="1"/>
              <w:bottom w:val="single" w:color="DDDDDD" w:sz="1"/>
              <w:right w:val="single" w:color="DDDDDD" w:sz="1"/>
            </w:tcBorders>
            <w:shd w:fill="F2F4F7" w:val="clear"/>
            <w:tcMar>
              <w:top w:type="dxa" w:w="120"/>
              <w:left w:type="dxa" w:w="160"/>
              <w:bottom w:type="dxa" w:w="120"/>
              <w:right w:type="dxa" w:w="160"/>
            </w:tcMar>
          </w:tcPr>
          <w:p>
            <w:pPr>
              <w:jc w:val="center"/>
            </w:pPr>
            <w:r>
              <w:rPr>
                <w:rFonts w:ascii="Arial" w:cs="Arial" w:eastAsia="Arial" w:hAnsi="Arial"/>
                <w:b/>
                <w:bCs/>
                <w:color w:val="1a1a2e"/>
                <w:sz w:val="32"/>
                <w:szCs w:val="32"/>
              </w:rPr>
              <w:t xml:space="preserve">6.5 / 10</w:t>
            </w:r>
          </w:p>
          <w:p>
            <w:pPr>
              <w:jc w:val="center"/>
            </w:pPr>
            <w:r>
              <w:rPr>
                <w:rFonts w:ascii="Arial" w:cs="Arial" w:eastAsia="Arial" w:hAnsi="Arial"/>
                <w:color w:val="666666"/>
                <w:sz w:val="16"/>
                <w:szCs w:val="16"/>
              </w:rPr>
              <w:t xml:space="preserve">Content Consistency</w:t>
            </w:r>
          </w:p>
        </w:tc>
        <w:tc>
          <w:tcPr>
            <w:tcW w:type="dxa" w:w="2340"/>
            <w:tcBorders>
              <w:top w:val="single" w:color="DDDDDD" w:sz="1"/>
              <w:left w:val="single" w:color="DDDDDD" w:sz="1"/>
              <w:bottom w:val="single" w:color="DDDDDD" w:sz="1"/>
              <w:right w:val="single" w:color="DDDDDD" w:sz="1"/>
            </w:tcBorders>
            <w:shd w:fill="F2F4F7" w:val="clear"/>
            <w:tcMar>
              <w:top w:type="dxa" w:w="120"/>
              <w:left w:type="dxa" w:w="160"/>
              <w:bottom w:type="dxa" w:w="120"/>
              <w:right w:type="dxa" w:w="160"/>
            </w:tcMar>
          </w:tcPr>
          <w:p>
            <w:pPr>
              <w:jc w:val="center"/>
            </w:pPr>
            <w:r>
              <w:rPr>
                <w:rFonts w:ascii="Arial" w:cs="Arial" w:eastAsia="Arial" w:hAnsi="Arial"/>
                <w:b/>
                <w:bCs/>
                <w:color w:val="1a1a2e"/>
                <w:sz w:val="32"/>
                <w:szCs w:val="32"/>
              </w:rPr>
              <w:t xml:space="preserve">8.5 / 10</w:t>
            </w:r>
          </w:p>
          <w:p>
            <w:pPr>
              <w:jc w:val="center"/>
            </w:pPr>
            <w:r>
              <w:rPr>
                <w:rFonts w:ascii="Arial" w:cs="Arial" w:eastAsia="Arial" w:hAnsi="Arial"/>
                <w:color w:val="666666"/>
                <w:sz w:val="16"/>
                <w:szCs w:val="16"/>
              </w:rPr>
              <w:t xml:space="preserve">UX &amp; Conversion</w:t>
            </w:r>
          </w:p>
        </w:tc>
      </w:tr>
    </w:tbl>
    <w:p>
      <w:pPr>
        <w:spacing w:after="80"/>
      </w:pPr>
      <w:r>
        <w:t xml:space="preserve"/>
      </w:r>
    </w:p>
    <w:p>
      <w:pPr>
        <w:pBdr>
          <w:bottom w:val="single" w:color="CCCCCC" w:sz="4" w:space="1"/>
        </w:pBdr>
        <w:spacing w:before="160" w:after="160"/>
      </w:pPr>
    </w:p>
    <w:p>
      <w:pPr>
        <w:pStyle w:val="Heading1"/>
        <w:spacing w:before="360" w:after="160"/>
      </w:pPr>
      <w:r>
        <w:rPr>
          <w:rFonts w:ascii="Arial" w:cs="Arial" w:eastAsia="Arial" w:hAnsi="Arial"/>
          <w:b/>
          <w:bCs/>
          <w:sz w:val="36"/>
          <w:szCs w:val="36"/>
        </w:rPr>
        <w:t xml:space="preserve">All Issues Found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2600"/>
      </w:tblGrid>
      <w:tr>
        <w:trPr>
          <w:tblHeader/>
        </w:trPr>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Location</w:t>
            </w:r>
          </w:p>
        </w:tc>
        <w:tc>
          <w:tcPr>
            <w:tcW w:type="dxa" w:w="3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Issue</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Fix</w:t>
            </w:r>
          </w:p>
        </w:tc>
      </w:tr>
      <w:tr>
        <w:tc>
          <w:tcPr>
            <w:tcW w:type="dxa" w:w="14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333333"/>
                <w:sz w:val="18"/>
                <w:szCs w:val="18"/>
              </w:rPr>
              <w:t xml:space="preserve">🔴 Critical</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/.well-known/ai-plugin.json</w:t>
            </w:r>
          </w:p>
        </w:tc>
        <w:tc>
          <w:tcPr>
            <w:tcW w:type="dxa" w:w="3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File returns 404. Both robots.txt and llms.txt advertise this URL to every AI crawler. Any AI agent following the reference hits a dead end — directly undermining AI discoverability.</w:t>
            </w:r>
          </w:p>
        </w:tc>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Create the file with a valid JSON plugin manifest, or remove all references to it from robots.txt and llms.txt.</w:t>
            </w:r>
          </w:p>
        </w:tc>
      </w:tr>
      <w:tr>
        <w:tc>
          <w:tcPr>
            <w:tcW w:type="dxa" w:w="14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333333"/>
                <w:sz w:val="18"/>
                <w:szCs w:val="18"/>
              </w:rPr>
              <w:t xml:space="preserve">🔴 Critical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api/v1/business.json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aggregateRating.ratingCount is set to 600 — which is the project count, not the review count. Schema.org validators and Google treat this as 600 verified reviews. This is factually incorrect and risks a manual action from Google for misleading structured data.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Set ratingCount to the actual number of reviews (the 6 shown on reviews.html would be honest). Update ratingValue to match.</w:t>
            </w:r>
          </w:p>
        </w:tc>
      </w:tr>
      <w:tr>
        <w:tc>
          <w:tcPr>
            <w:tcW w:type="dxa" w:w="14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333333"/>
                <w:sz w:val="18"/>
                <w:szCs w:val="18"/>
              </w:rPr>
              <w:t xml:space="preserve">🔴 Critical</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get-a-quote.html</w:t>
            </w:r>
          </w:p>
        </w:tc>
        <w:tc>
          <w:tcPr>
            <w:tcW w:type="dxa" w:w="3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The redirect page shows the literal text '&lt;contact-us.html&gt;' — the HTML tag is being rendered as text, not parsed. The page has no meta refresh and no JS redirect. Users and crawlers landing here are stuck.</w:t>
            </w:r>
          </w:p>
        </w:tc>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Replace with: &lt;meta http-equiv='refresh' content='0; url=contact-us.html'&gt; and a JS fallback: window.location.href='contact-us.html'</w:t>
            </w:r>
          </w:p>
        </w:tc>
      </w:tr>
      <w:tr>
        <w:tc>
          <w:tcPr>
            <w:tcW w:type="dxa" w:w="14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color w:val="333333"/>
                <w:sz w:val="18"/>
                <w:szCs w:val="18"/>
              </w:rPr>
              <w:t xml:space="preserve">🟡 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reviews.html vs. index.html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reviews.html shows '500+ Projects Completed' in its stats block. index.html, llms.txt, and the-caramella-story.html all say '600+'. This inconsistency undermines trust and confuses AI crawlers scraping multiple pages.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Update reviews.html stats to '600+ Projects Completed' to match all other pages.</w:t>
            </w:r>
          </w:p>
        </w:tc>
      </w:tr>
      <w:tr>
        <w:tc>
          <w:tcPr>
            <w:tcW w:type="dxa" w:w="14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color w:val="333333"/>
                <w:sz w:val="18"/>
                <w:szCs w:val="18"/>
              </w:rPr>
              <w:t xml:space="preserve">🟡 Medium</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Geo Coordinates (3 locations)</w:t>
            </w:r>
          </w:p>
        </w:tc>
        <w:tc>
          <w:tcPr>
            <w:tcW w:type="dxa" w:w="3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Three different coordinate values in use: GEMINI.md says 4.94025, 114.93983 — business.json says 4.9431, 114.9425 — index.html Google Maps link points to 4.939979, 114.93934. Only one can be correct.</w:t>
            </w:r>
          </w:p>
        </w:tc>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Verify the exact pin on Google Maps and standardise all three files to that single coordinate pair.</w:t>
            </w:r>
          </w:p>
        </w:tc>
      </w:tr>
      <w:tr>
        <w:tc>
          <w:tcPr>
            <w:tcW w:type="dxa" w:w="14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color w:val="333333"/>
                <w:sz w:val="18"/>
                <w:szCs w:val="18"/>
              </w:rPr>
              <w:t xml:space="preserve">🟡 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faq.html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Links to knowledge-base/quartz-vs-solid-surface-brunei.html — a page that does not appear in the sitemap and may not exist. If this is a broken internal link, it harms crawl budget and user experience.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Either create the page and add it to sitemap.xml, or update the link to point to countertop-materials-brunei.html which does exist.</w:t>
            </w:r>
          </w:p>
        </w:tc>
      </w:tr>
      <w:tr>
        <w:tc>
          <w:tcPr>
            <w:tcW w:type="dxa" w:w="14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color w:val="333333"/>
                <w:sz w:val="18"/>
                <w:szCs w:val="18"/>
              </w:rPr>
              <w:t xml:space="preserve">🟡 Medium</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Nav: pricing.html</w:t>
            </w:r>
          </w:p>
        </w:tc>
        <w:tc>
          <w:tcPr>
            <w:tcW w:type="dxa" w:w="3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The pricing page is missing 'Our Story' from the navigation bar, while all other pages include it. Inconsistent nav breaks the shared navigation contract and looks like a bug.</w:t>
            </w:r>
          </w:p>
        </w:tc>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Add &lt;a href='the-caramella-story.html'&gt;Our Story&lt;/a&gt; to pricing.html nav, between 'Concepts' and 'Knowledge'.</w:t>
            </w:r>
          </w:p>
        </w:tc>
      </w:tr>
      <w:tr>
        <w:tc>
          <w:tcPr>
            <w:tcW w:type="dxa" w:w="14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color w:val="333333"/>
                <w:sz w:val="18"/>
                <w:szCs w:val="18"/>
              </w:rPr>
              <w:t xml:space="preserve">🟡 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lookbook.html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Three images use absolute URLs (https://caramellabrunei.com/images/...) while one uses a relative path (images/img_4.jpg). Absolute URLs can cause issues in local dev and staging environments.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Standardise all image src attributes to relative paths: images/filename.png</w:t>
            </w:r>
          </w:p>
        </w:tc>
      </w:tr>
      <w:tr>
        <w:tc>
          <w:tcPr>
            <w:tcW w:type="dxa" w:w="14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color w:val="333333"/>
                <w:sz w:val="18"/>
                <w:szCs w:val="18"/>
              </w:rPr>
              <w:t xml:space="preserve">🟡 Medium</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AGENTS.md / docs/ directory</w:t>
            </w:r>
          </w:p>
        </w:tc>
        <w:tc>
          <w:tcPr>
            <w:tcW w:type="dxa" w:w="3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README.md references AGENTS.md for repo conventions and four docs/ guide files (deployment.md, google-search-console.md, seo-audit.md, release-checklist.md). None of these exist in the repository. AI coding agents (Gemini, Copilot) attempting to follow conventions will fail.</w:t>
            </w:r>
          </w:p>
        </w:tc>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Either create stub files, or remove the references from README.md.</w:t>
            </w:r>
          </w:p>
        </w:tc>
      </w:tr>
      <w:tr>
        <w:tc>
          <w:tcPr>
            <w:tcW w:type="dxa" w:w="14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8"/>
                <w:szCs w:val="18"/>
              </w:rPr>
              <w:t xml:space="preserve">🟢 Minor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contact-us.html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 address is obfuscated by Cloudflare's email protection ([email protected]) but the site is on GitHub Pages, not behind Cloudflare. The mailto link likely renders incorrectly for some users.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Replace with a plain mailto: link or a JS-obfuscated email string. Cloudflare's CDN email obfuscation requires their proxy to decode it.</w:t>
            </w:r>
          </w:p>
        </w:tc>
      </w:tr>
      <w:tr>
        <w:tc>
          <w:tcPr>
            <w:tcW w:type="dxa" w:w="14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8"/>
                <w:szCs w:val="18"/>
              </w:rPr>
              <w:t xml:space="preserve">🟢 Minor</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caramellabrunei.txt (root)</w:t>
            </w:r>
          </w:p>
        </w:tc>
        <w:tc>
          <w:tcPr>
            <w:tcW w:type="dxa" w:w="3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An unexplained .txt file sits in the repo root. If it is a verification token, it should be named descriptively (e.g. google-verify.txt). If it is orphaned, it should be deleted.</w:t>
            </w:r>
          </w:p>
        </w:tc>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Identify its purpose. If it is no longer needed, delete it. If it is a site verification token, document it in README.md.</w:t>
            </w:r>
          </w:p>
        </w:tc>
      </w:tr>
      <w:tr>
        <w:tc>
          <w:tcPr>
            <w:tcW w:type="dxa" w:w="14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8"/>
                <w:szCs w:val="18"/>
              </w:rPr>
              <w:t xml:space="preserve">🟢 Minor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thank-you.html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Page says 'Last updated: 2 March 2026' hardcoded. This is a transactional page with no date-sensitive content. The visible date is confusing and unnecessary.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Remove the 'Last updated' timestamp from the thank-you page.</w:t>
            </w:r>
          </w:p>
        </w:tc>
      </w:tr>
    </w:tbl>
    <w:p>
      <w:pPr>
        <w:spacing w:after="80"/>
      </w:pPr>
      <w:r>
        <w:t xml:space="preserve"/>
      </w:r>
    </w:p>
    <w:p>
      <w:pPr>
        <w:pBdr>
          <w:bottom w:val="single" w:color="CCCCCC" w:sz="4" w:space="1"/>
        </w:pBdr>
        <w:spacing w:before="160" w:after="160"/>
      </w:pPr>
    </w:p>
    <w:p>
      <w:pPr>
        <w:pStyle w:val="Heading1"/>
        <w:spacing w:before="360" w:after="160"/>
      </w:pPr>
      <w:r>
        <w:rPr>
          <w:rFonts w:ascii="Arial" w:cs="Arial" w:eastAsia="Arial" w:hAnsi="Arial"/>
          <w:b/>
          <w:bCs/>
          <w:sz w:val="36"/>
          <w:szCs w:val="36"/>
        </w:rPr>
        <w:t xml:space="preserve">What Is Working Well</w:t>
      </w:r>
    </w:p>
    <w:p>
      <w:pPr>
        <w:spacing w:after="80"/>
      </w:pPr>
      <w:r>
        <w:t xml:space="preserve"/>
      </w:r>
    </w:p>
    <w:p>
      <w:pPr>
        <w:pStyle w:val="Heading2"/>
        <w:spacing w:before="280" w:after="120"/>
      </w:pPr>
      <w:r>
        <w:rPr>
          <w:rFonts w:ascii="Arial" w:cs="Arial" w:eastAsia="Arial" w:hAnsi="Arial"/>
          <w:b/>
          <w:bCs/>
          <w:color w:val="1a6e3c"/>
          <w:sz w:val="26"/>
          <w:szCs w:val="26"/>
        </w:rPr>
        <w:t xml:space="preserve">AI Discoverability Infrastructure</w:t>
      </w:r>
    </w:p>
    <w:p>
      <w:pPr>
        <w:spacing w:after="120"/>
      </w:pPr>
      <w:r>
        <w:rPr>
          <w:rFonts w:ascii="Arial" w:cs="Arial" w:eastAsia="Arial" w:hAnsi="Arial"/>
          <w:sz w:val="20"/>
          <w:szCs w:val="20"/>
        </w:rPr>
        <w:t xml:space="preserve">The llms.txt title line correctly identifies the business as 'Custom Cabinetry, Interior Fit-Out &amp; Built-In Carpentry' — the March 2026 fix that resolved the ChatGPT exclusion was the right call and is correctly implemented.</w:t>
      </w:r>
    </w:p>
    <w:p>
      <w:pPr>
        <w:spacing w:after="120"/>
      </w:pPr>
      <w:r>
        <w:rPr>
          <w:rFonts w:ascii="Arial" w:cs="Arial" w:eastAsia="Arial" w:hAnsi="Arial"/>
          <w:sz w:val="20"/>
          <w:szCs w:val="20"/>
        </w:rPr>
        <w:t xml:space="preserve">robots.txt explicitly allows 30+ AI user-agents by name. This is best-in-class — most SMB sites simply allow * without naming AI bots specifically.</w:t>
      </w:r>
    </w:p>
    <w:p>
      <w:pPr>
        <w:spacing w:after="120"/>
      </w:pPr>
      <w:r>
        <w:rPr>
          <w:rFonts w:ascii="Arial" w:cs="Arial" w:eastAsia="Arial" w:hAnsi="Arial"/>
          <w:sz w:val="20"/>
          <w:szCs w:val="20"/>
        </w:rPr>
        <w:t xml:space="preserve">The Intent Map in llms.txt (query → best page) is an excellent addition that directly helps AI answer engines route queries to the correct landing page.</w:t>
      </w:r>
    </w:p>
    <w:p>
      <w:pPr>
        <w:spacing w:after="80"/>
      </w:pPr>
      <w:r>
        <w:t xml:space="preserve"/>
      </w:r>
    </w:p>
    <w:p>
      <w:pPr>
        <w:pStyle w:val="Heading2"/>
        <w:spacing w:before="280" w:after="120"/>
      </w:pPr>
      <w:r>
        <w:rPr>
          <w:rFonts w:ascii="Arial" w:cs="Arial" w:eastAsia="Arial" w:hAnsi="Arial"/>
          <w:b/>
          <w:bCs/>
          <w:color w:val="1a6e3c"/>
          <w:sz w:val="26"/>
          <w:szCs w:val="26"/>
        </w:rPr>
        <w:t xml:space="preserve">Structured Data Quality</w:t>
      </w:r>
    </w:p>
    <w:p>
      <w:pPr>
        <w:spacing w:after="120"/>
      </w:pPr>
      <w:r>
        <w:rPr>
          <w:rFonts w:ascii="Arial" w:cs="Arial" w:eastAsia="Arial" w:hAnsi="Arial"/>
          <w:sz w:val="20"/>
          <w:szCs w:val="20"/>
        </w:rPr>
        <w:t xml:space="preserve">business.json is well-formed with multilingual locale support (zh-CN and ms-BN), full service catalog with price ranges in BND, areaServed across all four Brunei districts, and knowsAbout with 19 specific service terms. This is meaningfully above average for a local Brunei business.</w:t>
      </w:r>
    </w:p>
    <w:p>
      <w:pPr>
        <w:spacing w:after="120"/>
      </w:pPr>
      <w:r>
        <w:rPr>
          <w:rFonts w:ascii="Arial" w:cs="Arial" w:eastAsia="Arial" w:hAnsi="Arial"/>
          <w:sz w:val="20"/>
          <w:szCs w:val="20"/>
        </w:rPr>
        <w:t xml:space="preserve">ENF certification data in llms.txt includes the lab report number (C25-WT0806), the testing standard (GB/T 39600-2021), and the exact emission value (&lt;0.010 mg/m³). This level of technical specificity is a strong trust signal for AI citations.</w:t>
      </w:r>
    </w:p>
    <w:p>
      <w:pPr>
        <w:spacing w:after="80"/>
      </w:pPr>
      <w:r>
        <w:t xml:space="preserve"/>
      </w:r>
    </w:p>
    <w:p>
      <w:pPr>
        <w:pStyle w:val="Heading2"/>
        <w:spacing w:before="280" w:after="120"/>
      </w:pPr>
      <w:r>
        <w:rPr>
          <w:rFonts w:ascii="Arial" w:cs="Arial" w:eastAsia="Arial" w:hAnsi="Arial"/>
          <w:b/>
          <w:bCs/>
          <w:color w:val="1a6e3c"/>
          <w:sz w:val="26"/>
          <w:szCs w:val="26"/>
        </w:rPr>
        <w:t xml:space="preserve">Content Tone &amp; Quality</w:t>
      </w:r>
    </w:p>
    <w:p>
      <w:pPr>
        <w:spacing w:after="120"/>
      </w:pPr>
      <w:r>
        <w:rPr>
          <w:rFonts w:ascii="Arial" w:cs="Arial" w:eastAsia="Arial" w:hAnsi="Arial"/>
          <w:sz w:val="20"/>
          <w:szCs w:val="20"/>
        </w:rPr>
        <w:t xml:space="preserve">The banned word list from GEMINI.md is being respected across all reviewed pages. No 'bespoke', 'seamless', 'elevate', or 'transform' found. The pricing page's cost-per-year comparison table is genuinely useful content that stands apart from generic competitor pages.</w:t>
      </w:r>
    </w:p>
    <w:p>
      <w:pPr>
        <w:spacing w:after="120"/>
      </w:pPr>
      <w:r>
        <w:rPr>
          <w:rFonts w:ascii="Arial" w:cs="Arial" w:eastAsia="Arial" w:hAnsi="Arial"/>
          <w:sz w:val="20"/>
          <w:szCs w:val="20"/>
        </w:rPr>
        <w:t xml:space="preserve">The portfolio case studies include specific Brunei housing scheme names (RPN Lambak, STKRJ Rimba), specific hardware model references (Blum Space Tower, Higold Shearer Style Magic Corner), and precise technical data. This is the right approach.</w:t>
      </w:r>
    </w:p>
    <w:p>
      <w:pPr>
        <w:spacing w:after="80"/>
      </w:pPr>
      <w:r>
        <w:t xml:space="preserve"/>
      </w:r>
    </w:p>
    <w:p>
      <w:pPr>
        <w:pStyle w:val="Heading2"/>
        <w:spacing w:before="280" w:after="120"/>
      </w:pPr>
      <w:r>
        <w:rPr>
          <w:rFonts w:ascii="Arial" w:cs="Arial" w:eastAsia="Arial" w:hAnsi="Arial"/>
          <w:b/>
          <w:bCs/>
          <w:color w:val="1a6e3c"/>
          <w:sz w:val="26"/>
          <w:szCs w:val="26"/>
        </w:rPr>
        <w:t xml:space="preserve">Conversion Architecture</w:t>
      </w:r>
    </w:p>
    <w:p>
      <w:pPr>
        <w:spacing w:after="120"/>
      </w:pPr>
      <w:r>
        <w:rPr>
          <w:rFonts w:ascii="Arial" w:cs="Arial" w:eastAsia="Arial" w:hAnsi="Arial"/>
          <w:sz w:val="20"/>
          <w:szCs w:val="20"/>
        </w:rPr>
        <w:t xml:space="preserve">The dual CTA pattern (WhatsApp for fast response + full form for detailed briefs) is well-executed on the homepage and contact page. The contact form itself is detailed and structured for qualification — materials, budget, construction status — reducing back-and-forth.</w:t>
      </w:r>
    </w:p>
    <w:p>
      <w:pPr>
        <w:spacing w:after="120"/>
      </w:pPr>
      <w:r>
        <w:rPr>
          <w:rFonts w:ascii="Arial" w:cs="Arial" w:eastAsia="Arial" w:hAnsi="Arial"/>
          <w:sz w:val="20"/>
          <w:szCs w:val="20"/>
        </w:rPr>
        <w:t xml:space="preserve">The get-a-quote.html redirect (once fixed) correctly funnels traffic to a single canonical form endpoint, avoiding duplicate form submissions.</w:t>
      </w:r>
    </w:p>
    <w:p>
      <w:pPr>
        <w:spacing w:after="80"/>
      </w:pPr>
      <w:r>
        <w:t xml:space="preserve"/>
      </w:r>
    </w:p>
    <w:p>
      <w:pPr>
        <w:pBdr>
          <w:bottom w:val="single" w:color="CCCCCC" w:sz="4" w:space="1"/>
        </w:pBdr>
        <w:spacing w:before="160" w:after="160"/>
      </w:pPr>
    </w:p>
    <w:p>
      <w:pPr>
        <w:pStyle w:val="Heading1"/>
        <w:spacing w:before="360" w:after="160"/>
      </w:pPr>
      <w:r>
        <w:rPr>
          <w:rFonts w:ascii="Arial" w:cs="Arial" w:eastAsia="Arial" w:hAnsi="Arial"/>
          <w:b/>
          <w:bCs/>
          <w:sz w:val="36"/>
          <w:szCs w:val="36"/>
        </w:rPr>
        <w:t xml:space="preserve">Priority Action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rPr>
          <w:tblHeader/>
        </w:trPr>
        <w:tc>
          <w:tcPr>
            <w:tcW w:type="dxa" w:w="7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7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1</w:t>
            </w:r>
          </w:p>
        </w:tc>
        <w:tc>
          <w:tcPr>
            <w:tcW w:type="dxa" w:w="32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Fix get-a-quote.html redirect</w:t>
            </w:r>
          </w:p>
        </w:tc>
        <w:tc>
          <w:tcPr>
            <w:tcW w:type="dxa" w:w="5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Broken redirect — users and crawlers are stuck on this page right now.</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2</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Fix ratingCount in business.json</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Active data integrity error. Google may flag misleading structured data.</w:t>
            </w:r>
          </w:p>
        </w:tc>
      </w:tr>
      <w:tr>
        <w:tc>
          <w:tcPr>
            <w:tcW w:type="dxa" w:w="7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3</w:t>
            </w:r>
          </w:p>
        </w:tc>
        <w:tc>
          <w:tcPr>
            <w:tcW w:type="dxa" w:w="32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Create /.well-known/ai-plugin.json</w:t>
            </w:r>
          </w:p>
        </w:tc>
        <w:tc>
          <w:tcPr>
            <w:tcW w:type="dxa" w:w="5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404 advertised to all AI crawlers. Every bot that follows the link gets nothing.</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4</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Standardise geo coordinates</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Three different values across three files. Pick one, apply everywhere.</w:t>
            </w:r>
          </w:p>
        </w:tc>
      </w:tr>
      <w:tr>
        <w:tc>
          <w:tcPr>
            <w:tcW w:type="dxa" w:w="7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5</w:t>
            </w:r>
          </w:p>
        </w:tc>
        <w:tc>
          <w:tcPr>
            <w:tcW w:type="dxa" w:w="32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Fix reviews.html '500+' → '600+'</w:t>
            </w:r>
          </w:p>
        </w:tc>
        <w:tc>
          <w:tcPr>
            <w:tcW w:type="dxa" w:w="5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Factual inconsistency across pages damages trust and AI accuracy.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6</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Resolve faq.html broken link</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quartz-vs-solid-surface-brunei.html either needs to be created or relinked.</w:t>
            </w:r>
          </w:p>
        </w:tc>
      </w:tr>
      <w:tr>
        <w:tc>
          <w:tcPr>
            <w:tcW w:type="dxa" w:w="7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7</w:t>
            </w:r>
          </w:p>
        </w:tc>
        <w:tc>
          <w:tcPr>
            <w:tcW w:type="dxa" w:w="32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Add 'Our Story' to pricing.html nav</w:t>
            </w:r>
          </w:p>
        </w:tc>
        <w:tc>
          <w:tcPr>
            <w:tcW w:type="dxa" w:w="5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Nav inconsistency. Looks like a bug.</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8</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Fix lookbook.html absolute image URLs</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Standardise to relative paths for dev/staging consistency.</w:t>
            </w:r>
          </w:p>
        </w:tc>
      </w:tr>
      <w:tr>
        <w:tc>
          <w:tcPr>
            <w:tcW w:type="dxa" w:w="7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9</w:t>
            </w:r>
          </w:p>
        </w:tc>
        <w:tc>
          <w:tcPr>
            <w:tcW w:type="dxa" w:w="32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Resolve AGENTS.md / docs/ references</w:t>
            </w:r>
          </w:p>
        </w:tc>
        <w:tc>
          <w:tcPr>
            <w:tcW w:type="dxa" w:w="5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Clean up README or create the files. AI agents will look for them.</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10</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Fix contact-us.html email obfuscation</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Cloudflare email protection does not work on GitHub Pages.</w:t>
            </w:r>
          </w:p>
        </w:tc>
      </w:tr>
      <w:tr>
        <w:tc>
          <w:tcPr>
            <w:tcW w:type="dxa" w:w="7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11</w:t>
            </w:r>
          </w:p>
        </w:tc>
        <w:tc>
          <w:tcPr>
            <w:tcW w:type="dxa" w:w="32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Remove caramellabrunei.txt or document it</w:t>
            </w:r>
          </w:p>
        </w:tc>
        <w:tc>
          <w:tcPr>
            <w:tcW w:type="dxa" w:w="5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Unknown file in root. Either explain it or delete it.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12</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Remove hardcoded date from thank-you.html</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Minor but confusing on a transactional page.</w:t>
            </w:r>
          </w:p>
        </w:tc>
      </w:tr>
    </w:tbl>
    <w:p>
      <w:pPr>
        <w:spacing w:after="80"/>
      </w:pPr>
      <w:r>
        <w:t xml:space="preserve"/>
      </w:r>
    </w:p>
    <w:p>
      <w:pPr>
        <w:pBdr>
          <w:bottom w:val="single" w:color="CCCCCC" w:sz="4" w:space="1"/>
        </w:pBdr>
        <w:spacing w:before="160" w:after="160"/>
      </w:pPr>
    </w:p>
    <w:p>
      <w:pPr>
        <w:spacing w:before="160"/>
      </w:pPr>
      <w:r>
        <w:rPr>
          <w:rFonts w:ascii="Arial" w:cs="Arial" w:eastAsia="Arial" w:hAnsi="Arial"/>
          <w:color w:val="AAAAAA"/>
          <w:sz w:val="16"/>
          <w:szCs w:val="16"/>
        </w:rPr>
        <w:t xml:space="preserve">End of Report  •  caramellabrunei.com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2026-03-04T00:03:36.321Z</dcterms:created>
  <dcterms:modified xsi:type="dcterms:W3CDTF">2026-03-04T00:03:36.322Z</dcterms:modified>
</cp:coreProperties>
</file>

<file path=docProps/custom.xml><?xml version="1.0" encoding="utf-8"?>
<Properties xmlns="http://schemas.openxmlformats.org/officeDocument/2006/custom-properties" xmlns:vt="http://schemas.openxmlformats.org/officeDocument/2006/docPropsVTypes"/>
</file>