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基于 AGENTLESS 的大语言模型自动代码修复方法复现与分析</w:t>
      </w:r>
    </w:p>
    <w:p>
      <w:pPr>
        <w:pStyle w:val="Subtitle"/>
        <w:jc w:val="center"/>
      </w:pPr>
      <w:r>
        <w:t xml:space="preserve">开题报告</w:t>
      </w:r>
    </w:p>
    <w:p/>
    <w:p>
      <w:pPr>
        <w:pStyle w:val="Heading1"/>
      </w:pPr>
      <w:r>
        <w:t xml:space="preserve">摘要</w:t>
      </w:r>
    </w:p>
    <w:p>
      <w:r>
        <w:t xml:space="preserve">随着软件系统规模和复杂度持续提升，缺陷定位与代码修复已经成为软件质量保障中的关键问题。近年来，大语言模型在代码理解、补丁生成和测试生成方面表现出较强能力，但完整智能体式软件工程系统通常依赖复杂规划、工具调用和多轮交互，复现成本较高，也不利于分析各环节对修复效果的具体贡献。AGENTLESS 提出一种较轻量的 LLM 代码修复框架，将问题解决过程拆分为故障定位、补丁生成和补丁验证等相对明确的阶段，在 SWE-bench Lite 上展示了较强的自动修复能力。本课题拟基于 OpenAutoCoder/Agentless 官方实现，在 WSL2 Ubuntu 环境中复现其官方流程子集，选择 SWE-bench Lite 中 5 个固定样例，使用 gpt-4o-mini-2024-07-18 作为主要模型，完成从 issue 输入、代码位置定位、候选补丁生成、回归测试与复现测试验证，到最终 SWE-bench harness 评测的完整实验链路。课题预期形成可复现实验脚本、阶段性运行日志、补丁结果文件和实验分析报告，为理解 LLM 辅助软件修复流程、评估轻量化修复框架的工程可行性提供依据。</w:t>
      </w:r>
    </w:p>
    <w:p>
      <w:r>
        <w:rPr>
          <w:b/>
        </w:rPr>
        <w:t xml:space="preserve">关键词：AGENTLESS；大语言模型；自动程序修复；SWE-bench Lite；软件质量保障</w:t>
      </w:r>
    </w:p>
    <w:p>
      <w:pPr>
        <w:pStyle w:val="Heading1"/>
      </w:pPr>
      <w:r>
        <w:t xml:space="preserve">1. 研究意义</w:t>
      </w:r>
    </w:p>
    <w:p>
      <w:pPr>
        <w:pStyle w:val="Heading2"/>
      </w:pPr>
      <w:r>
        <w:t xml:space="preserve">1.1 研究背景</w:t>
      </w:r>
    </w:p>
    <w:p>
      <w:r>
        <w:t xml:space="preserve">自动程序修复是软件工程和软件质量保障领域的重要研究方向。传统修复方法通常依赖静态分析、动态测试、模板匹配或搜索算法，在特定类型缺陷上能够取得较好效果，但面对真实开源项目中的复杂上下文、自然语言 issue 描述和跨文件代码依赖时，往往存在适用范围有限、上下文建模不足和人工成本较高等问题。</w:t>
      </w:r>
    </w:p>
    <w:p>
      <w:r>
        <w:t xml:space="preserve">大语言模型具备从自然语言描述和代码上下文中推断修改意图的能力，使其成为自动代码修复的新型基础工具。SWE-bench 等基准进一步推动了该方向从小规模合成缺陷转向真实 GitHub issue 与 pull request 的修复评测。AGENTLESS 正是在这一背景下提出的轻量化修复框架，其核心思想不是构造复杂自治智能体，而是将修复任务拆解为可控的检索、定位、生成和验证步骤。</w:t>
      </w:r>
    </w:p>
    <w:p>
      <w:pPr>
        <w:pStyle w:val="Heading2"/>
      </w:pPr>
      <w:r>
        <w:t xml:space="preserve">1.2 研究缺口</w:t>
      </w:r>
    </w:p>
    <w:p>
      <w:r>
        <w:t xml:space="preserve">现有 LLM 代码修复系统虽然效果不断提升，但复现门槛较高：一方面，官方实验通常需要 Docker、模型 API、SWE-bench harness 和大量计算资源；另一方面，完整 benchmark 的运行成本不适合课程项目。对于课程实验而言，更有价值的目标是复现官方流程的关键链路，并通过小规模样例分析每个阶段的输入输出、失败原因和工程限制。</w:t>
      </w:r>
    </w:p>
    <w:p>
      <w:pPr>
        <w:pStyle w:val="Heading2"/>
      </w:pPr>
      <w:r>
        <w:t xml:space="preserve">1.3 研究价值</w:t>
      </w:r>
    </w:p>
    <w:p>
      <w:r>
        <w:t xml:space="preserve">本课题的研究价值主要体现在两个方面。学术上，通过复现 AGENTLESS 的定位、修复和验证流程，可以理解轻量化 LLM 修复框架如何在真实 issue 场景中工作，并分析模型生成补丁与测试验证之间的关系。工程上，本课题将形成一套可在 WSL2 环境中运行的实验流程，为后续扩展样例数量、替换模型或改进补丁筛选策略提供基础。</w:t>
      </w:r>
    </w:p>
    <w:p>
      <w:pPr>
        <w:pStyle w:val="Heading1"/>
      </w:pPr>
      <w:r>
        <w:t xml:space="preserve">2. 相关现状调研</w:t>
      </w:r>
    </w:p>
    <w:p>
      <w:pPr>
        <w:pStyle w:val="Heading2"/>
      </w:pPr>
      <w:r>
        <w:t xml:space="preserve">2.1 自动程序修复技术发展脉络</w:t>
      </w:r>
    </w:p>
    <w:p>
      <w:r>
        <w:t xml:space="preserve">自动程序修复早期多依赖测试驱动搜索、遗传算法、语义约束和补丁模板。这类方法强调补丁必须通过测试集，但通常需要较强先验或固定补丁空间。随着神经模型和预训练代码模型发展，研究者开始利用模型学习代码修改模式。近年来，大语言模型进一步将自然语言 issue、仓库上下文和补丁生成结合起来，使真实项目级修复成为可能。</w:t>
      </w:r>
    </w:p>
    <w:p>
      <w:pPr>
        <w:pStyle w:val="Heading2"/>
      </w:pPr>
      <w:r>
        <w:t xml:space="preserve">2.2 LLM 辅助代码修复现状</w:t>
      </w:r>
    </w:p>
    <w:p>
      <w:r>
        <w:t xml:space="preserve">LLM 辅助代码修复通常包括三类关键能力：一是从 issue 中理解缺陷表现和期望行为；二是在大规模代码仓库中定位相关文件、类、函数和代码行；三是根据上下文生成候选补丁并用测试验证。SWE-bench 通过真实 GitHub issue 构造任务，使模型不仅需要生成语法正确的代码，还需要理解项目约束、依赖关系和测试行为。</w:t>
      </w:r>
    </w:p>
    <w:p>
      <w:pPr>
        <w:pStyle w:val="Heading2"/>
      </w:pPr>
      <w:r>
        <w:t xml:space="preserve">2.3 AGENTLESS 方法特点</w:t>
      </w:r>
    </w:p>
    <w:p>
      <w:r>
        <w:t xml:space="preserve">AGENTLESS 的主要特点是降低智能体复杂度，将修复流程组织为明确阶段。其故障定位阶段结合文件级检索、相关元素定位和细粒度编辑位置定位；修复阶段基于定位到的上下文生成多个候选补丁；验证阶段利用回归测试和 reproduction test 对候选补丁进行筛选和重排序。与复杂多工具智能体相比，这种设计更容易复现、分析和控制。</w:t>
      </w:r>
    </w:p>
    <w:p>
      <w:pPr>
        <w:pStyle w:val="Heading2"/>
      </w:pPr>
      <w:r>
        <w:t xml:space="preserve">2.4 最新研究趋势</w:t>
      </w:r>
    </w:p>
    <w:p>
      <w:r>
        <w:t xml:space="preserve">当前 LLM 软件工程研究正从单次代码生成转向完整工程任务闭环，包括上下文压缩、测试生成、补丁验证、自动评测和失败诊断。AGENTLESS 的贡献之一在于说明简单、透明的阶段化流程也能获得有竞争力的结果。因此，对该框架进行小规模官方流程复现，能够帮助理解当前 LLM 自动修复系统的实际工程边界。</w:t>
      </w:r>
    </w:p>
    <w:p>
      <w:pPr>
        <w:pStyle w:val="Heading1"/>
      </w:pPr>
      <w:r>
        <w:t xml:space="preserve">3. 已有基础与工具搭建情况</w:t>
      </w:r>
    </w:p>
    <w:p>
      <w:pPr>
        <w:pStyle w:val="Heading2"/>
      </w:pPr>
      <w:r>
        <w:t xml:space="preserve">3.1 已有环境基础</w:t>
      </w:r>
    </w:p>
    <w:p>
      <w:r>
        <w:t xml:space="preserve">当前实验环境为 WSL2 Ubuntu，已经确认 Git 和 Docker 可用，适合运行 SWE-bench 相关 Docker 评测流程。项目目录位于 `/home/legengen/software-quality-final-project`，原始论文 PDF 和前期计划文件位于项目相关目录中。由于 `/mnt/g` 属于 Windows 挂载路径，后续正式运行将使用 WSL 本地路径，降低 I/O、权限和换行符问题。</w:t>
      </w:r>
    </w:p>
    <w:tbl>
      <w:tblPr>
        <w:tblStyle w:val="TableGrid"/>
        <w:tblW w:w="0" w:type="auto"/>
        <w:tblLook w:val="04A0" w:firstRow="1" w:lastRow="0" w:firstColumn="1" w:lastColumn="0" w:noHBand="0" w:noVBand="1"/>
      </w:tblPr>
      <w:tblGrid>
        <w:gridCol w:w="1800"/>
        <w:gridCol w:w="2200"/>
        <w:gridCol w:w="5200"/>
      </w:tblGrid>
      <w:tr>
        <w:tc>
          <w:tcPr>
            <w:tcW w:w="1800" w:type="dxa"/>
            <w:shd w:fill="D9EAF7"/>
          </w:tcPr>
          <w:p>
            <w:r>
              <w:rPr>
                <w:b/>
              </w:rPr>
              <w:t xml:space="preserve">项目</w:t>
            </w:r>
          </w:p>
        </w:tc>
        <w:tc>
          <w:tcPr>
            <w:tcW w:w="1800" w:type="dxa"/>
            <w:shd w:fill="D9EAF7"/>
          </w:tcPr>
          <w:p>
            <w:r>
              <w:rPr>
                <w:b/>
              </w:rPr>
              <w:t xml:space="preserve">当前状态</w:t>
            </w:r>
          </w:p>
        </w:tc>
        <w:tc>
          <w:tcPr>
            <w:tcW w:w="1800" w:type="dxa"/>
            <w:shd w:fill="D9EAF7"/>
          </w:tcPr>
          <w:p>
            <w:r>
              <w:rPr>
                <w:b/>
              </w:rPr>
              <w:t xml:space="preserve">说明</w:t>
            </w:r>
          </w:p>
        </w:tc>
      </w:tr>
      <w:tr>
        <w:tc>
          <w:tcPr>
            <w:tcW w:w="1800" w:type="dxa"/>
          </w:tcPr>
          <w:p>
            <w:r>
              <w:t xml:space="preserve">操作系统</w:t>
            </w:r>
          </w:p>
        </w:tc>
        <w:tc>
          <w:tcPr>
            <w:tcW w:w="1800" w:type="dxa"/>
          </w:tcPr>
          <w:p>
            <w:r>
              <w:t xml:space="preserve">WSL2 Ubuntu</w:t>
            </w:r>
          </w:p>
        </w:tc>
        <w:tc>
          <w:tcPr>
            <w:tcW w:w="1800" w:type="dxa"/>
          </w:tcPr>
          <w:p>
            <w:r>
              <w:t xml:space="preserve">适合 Linux shell、Docker 与 Python 工具链</w:t>
            </w:r>
          </w:p>
        </w:tc>
      </w:tr>
      <w:tr>
        <w:tc>
          <w:tcPr>
            <w:tcW w:w="1800" w:type="dxa"/>
          </w:tcPr>
          <w:p>
            <w:r>
              <w:t xml:space="preserve">Git</w:t>
            </w:r>
          </w:p>
        </w:tc>
        <w:tc>
          <w:tcPr>
            <w:tcW w:w="1800" w:type="dxa"/>
          </w:tcPr>
          <w:p>
            <w:r>
              <w:t xml:space="preserve">已安装</w:t>
            </w:r>
          </w:p>
        </w:tc>
        <w:tc>
          <w:tcPr>
            <w:tcW w:w="1800" w:type="dxa"/>
          </w:tcPr>
          <w:p>
            <w:r>
              <w:t xml:space="preserve">用于克隆官方 Agentless 和 SWE-bench 相关仓库</w:t>
            </w:r>
          </w:p>
        </w:tc>
      </w:tr>
      <w:tr>
        <w:tc>
          <w:tcPr>
            <w:tcW w:w="1800" w:type="dxa"/>
          </w:tcPr>
          <w:p>
            <w:r>
              <w:t xml:space="preserve">Docker</w:t>
            </w:r>
          </w:p>
        </w:tc>
        <w:tc>
          <w:tcPr>
            <w:tcW w:w="1800" w:type="dxa"/>
          </w:tcPr>
          <w:p>
            <w:r>
              <w:t xml:space="preserve">已安装</w:t>
            </w:r>
          </w:p>
        </w:tc>
        <w:tc>
          <w:tcPr>
            <w:tcW w:w="1800" w:type="dxa"/>
          </w:tcPr>
          <w:p>
            <w:r>
              <w:t xml:space="preserve">用于 SWE-bench harness 构建与运行容器</w:t>
            </w:r>
          </w:p>
        </w:tc>
      </w:tr>
      <w:tr>
        <w:tc>
          <w:tcPr>
            <w:tcW w:w="1800" w:type="dxa"/>
          </w:tcPr>
          <w:p>
            <w:r>
              <w:t xml:space="preserve">Python</w:t>
            </w:r>
          </w:p>
        </w:tc>
        <w:tc>
          <w:tcPr>
            <w:tcW w:w="1800" w:type="dxa"/>
          </w:tcPr>
          <w:p>
            <w:r>
              <w:t xml:space="preserve">系统 Python 3.12</w:t>
            </w:r>
          </w:p>
        </w:tc>
        <w:tc>
          <w:tcPr>
            <w:tcW w:w="1800" w:type="dxa"/>
          </w:tcPr>
          <w:p>
            <w:r>
              <w:t xml:space="preserve">官方流程计划使用 Conda 创建 Python 3.11 环境</w:t>
            </w:r>
          </w:p>
        </w:tc>
      </w:tr>
      <w:tr>
        <w:tc>
          <w:tcPr>
            <w:tcW w:w="1800" w:type="dxa"/>
          </w:tcPr>
          <w:p>
            <w:r>
              <w:t xml:space="preserve">Conda</w:t>
            </w:r>
          </w:p>
        </w:tc>
        <w:tc>
          <w:tcPr>
            <w:tcW w:w="1800" w:type="dxa"/>
          </w:tcPr>
          <w:p>
            <w:r>
              <w:t xml:space="preserve">未安装</w:t>
            </w:r>
          </w:p>
        </w:tc>
        <w:tc>
          <w:tcPr>
            <w:tcW w:w="1800" w:type="dxa"/>
          </w:tcPr>
          <w:p>
            <w:r>
              <w:t xml:space="preserve">后续安装 Miniconda 或 Mambaforge</w:t>
            </w:r>
          </w:p>
        </w:tc>
      </w:tr>
    </w:tbl>
    <w:p>
      <w:pPr>
        <w:jc w:val="center"/>
      </w:pPr>
      <w:r>
        <w:t xml:space="preserve">表1 实验环境初步检查情况</w:t>
      </w:r>
    </w:p>
    <w:p>
      <w:pPr>
        <w:pStyle w:val="Heading2"/>
      </w:pPr>
      <w:r>
        <w:t xml:space="preserve">3.2 官方流程复现对象</w:t>
      </w:r>
    </w:p>
    <w:p>
      <w:r>
        <w:t xml:space="preserve">本课题选择 OpenAutoCoder/Agentless 官方实现作为复现对象，不自行重写核心算法。实验数据集选择 `princeton-nlp/SWE-bench_Lite`，计划先固定 5 个样例进行官方流程子集复现，避免因完整 300 个样例带来的高额 API 成本和长时间 Docker 评测。</w:t>
      </w:r>
    </w:p>
    <w:p>
      <w:pPr>
        <w:pStyle w:val="Heading2"/>
      </w:pPr>
      <w:r>
        <w:t xml:space="preserve">3.3 计划使用样例与模型</w:t>
      </w:r>
    </w:p>
    <w:tbl>
      <w:tblPr>
        <w:tblStyle w:val="TableGrid"/>
        <w:tblW w:w="0" w:type="auto"/>
        <w:tblLook w:val="04A0" w:firstRow="1" w:lastRow="0" w:firstColumn="1" w:lastColumn="0" w:noHBand="0" w:noVBand="1"/>
      </w:tblPr>
      <w:tblGrid>
        <w:gridCol w:w="2200"/>
        <w:gridCol w:w="7000"/>
      </w:tblGrid>
      <w:tr>
        <w:tc>
          <w:tcPr>
            <w:tcW w:w="2200" w:type="dxa"/>
            <w:shd w:fill="D9EAF7"/>
          </w:tcPr>
          <w:p>
            <w:r>
              <w:rPr>
                <w:b/>
              </w:rPr>
              <w:t xml:space="preserve">类别</w:t>
            </w:r>
          </w:p>
        </w:tc>
        <w:tc>
          <w:tcPr>
            <w:tcW w:w="2200" w:type="dxa"/>
            <w:shd w:fill="D9EAF7"/>
          </w:tcPr>
          <w:p>
            <w:r>
              <w:rPr>
                <w:b/>
              </w:rPr>
              <w:t xml:space="preserve">配置</w:t>
            </w:r>
          </w:p>
        </w:tc>
      </w:tr>
      <w:tr>
        <w:tc>
          <w:tcPr>
            <w:tcW w:w="2200" w:type="dxa"/>
          </w:tcPr>
          <w:p>
            <w:r>
              <w:t xml:space="preserve">数据集</w:t>
            </w:r>
          </w:p>
        </w:tc>
        <w:tc>
          <w:tcPr>
            <w:tcW w:w="2200" w:type="dxa"/>
          </w:tcPr>
          <w:p>
            <w:r>
              <w:t xml:space="preserve">princeton-nlp/SWE-bench_Lite</w:t>
            </w:r>
          </w:p>
        </w:tc>
      </w:tr>
      <w:tr>
        <w:tc>
          <w:tcPr>
            <w:tcW w:w="2200" w:type="dxa"/>
          </w:tcPr>
          <w:p>
            <w:r>
              <w:t xml:space="preserve">样例数量</w:t>
            </w:r>
          </w:p>
        </w:tc>
        <w:tc>
          <w:tcPr>
            <w:tcW w:w="2200" w:type="dxa"/>
          </w:tcPr>
          <w:p>
            <w:r>
              <w:t xml:space="preserve">5 个固定样例</w:t>
            </w:r>
          </w:p>
        </w:tc>
      </w:tr>
      <w:tr>
        <w:tc>
          <w:tcPr>
            <w:tcW w:w="2200" w:type="dxa"/>
          </w:tcPr>
          <w:p>
            <w:r>
              <w:t xml:space="preserve">样例 ID</w:t>
            </w:r>
          </w:p>
        </w:tc>
        <w:tc>
          <w:tcPr>
            <w:tcW w:w="2200" w:type="dxa"/>
          </w:tcPr>
          <w:p>
            <w:r>
              <w:t xml:space="preserve">sqlfluff__sqlfluff-1625；sqlfluff__sqlfluff-2419；sqlfluff__sqlfluff-1733；sqlfluff__sqlfluff-1517；sqlfluff__sqlfluff-1763</w:t>
            </w:r>
          </w:p>
        </w:tc>
      </w:tr>
      <w:tr>
        <w:tc>
          <w:tcPr>
            <w:tcW w:w="2200" w:type="dxa"/>
          </w:tcPr>
          <w:p>
            <w:r>
              <w:t xml:space="preserve">模型</w:t>
            </w:r>
          </w:p>
        </w:tc>
        <w:tc>
          <w:tcPr>
            <w:tcW w:w="2200" w:type="dxa"/>
          </w:tcPr>
          <w:p>
            <w:r>
              <w:t xml:space="preserve">gpt-4o-mini-2024-07-18</w:t>
            </w:r>
          </w:p>
        </w:tc>
      </w:tr>
      <w:tr>
        <w:tc>
          <w:tcPr>
            <w:tcW w:w="2200" w:type="dxa"/>
          </w:tcPr>
          <w:p>
            <w:r>
              <w:t xml:space="preserve">后端</w:t>
            </w:r>
          </w:p>
        </w:tc>
        <w:tc>
          <w:tcPr>
            <w:tcW w:w="2200" w:type="dxa"/>
          </w:tcPr>
          <w:p>
            <w:r>
              <w:t xml:space="preserve">OpenAI-compatible API</w:t>
            </w:r>
          </w:p>
        </w:tc>
      </w:tr>
      <w:tr>
        <w:tc>
          <w:tcPr>
            <w:tcW w:w="2200" w:type="dxa"/>
          </w:tcPr>
          <w:p>
            <w:r>
              <w:t xml:space="preserve">采样规模</w:t>
            </w:r>
          </w:p>
        </w:tc>
        <w:tc>
          <w:tcPr>
            <w:tcW w:w="2200" w:type="dxa"/>
          </w:tcPr>
          <w:p>
            <w:r>
              <w:t xml:space="preserve">4 组 edit locations × 每组 10 个 patch，共 40 个候选补丁；reproduction test 生成 40 个样本</w:t>
            </w:r>
          </w:p>
        </w:tc>
      </w:tr>
    </w:tbl>
    <w:p>
      <w:pPr>
        <w:jc w:val="center"/>
      </w:pPr>
      <w:r>
        <w:t xml:space="preserve">表2 实验复现核心配置</w:t>
      </w:r>
    </w:p>
    <w:p>
      <w:pPr>
        <w:pStyle w:val="Heading1"/>
      </w:pPr>
      <w:r>
        <w:t xml:space="preserve">4. 研究内容与改进方向</w:t>
      </w:r>
    </w:p>
    <w:p>
      <w:pPr>
        <w:pStyle w:val="Heading2"/>
      </w:pPr>
      <w:r>
        <w:t xml:space="preserve">4.1 官方流程复现</w:t>
      </w:r>
    </w:p>
    <w:p>
      <w:r>
        <w:t xml:space="preserve">本课题首先完成官方流程的端到端复现。流程包括：文件级定位、相关元素定位、细粒度编辑位置定位、候选补丁生成、回归测试选择、reproduction test 生成、补丁验证、补丁重排序和最终 SWE-bench harness 评测。最终输出为符合 SWE-bench prediction 格式的 `all_preds.jsonl`，并记录每个样例是否 resolved。</w:t>
      </w:r>
    </w:p>
    <w:p>
      <w:pPr>
        <w:pStyle w:val="Heading2"/>
      </w:pPr>
      <w:r>
        <w:t xml:space="preserve">4.2 阶段性结果分析</w:t>
      </w:r>
    </w:p>
    <w:p>
      <w:r>
        <w:t xml:space="preserve">在复现过程中，将保留各阶段中间结果并进行分析。例如，定位阶段检查相关文件和编辑位置是否覆盖真实修复位置；修复阶段统计候选补丁数量、可解析补丁比例和重复补丁比例；验证阶段分析回归测试与 reproduction test 对补丁筛选的影响。该分析有助于判断失败样例是由定位错误、生成错误还是验证不足导致。</w:t>
      </w:r>
    </w:p>
    <w:p>
      <w:pPr>
        <w:pStyle w:val="Heading2"/>
      </w:pPr>
      <w:r>
        <w:t xml:space="preserve">4.3 成本与工程可行性评估</w:t>
      </w:r>
    </w:p>
    <w:p>
      <w:r>
        <w:t xml:space="preserve">由于 LLM 调用和 Docker 评测存在实际成本，本课题将记录 API 调用规模、token/cost 统计、运行时间和 Docker 资源占用。通过小规模样例实验，评估官方流程在课程实验环境中的可运行性，为后续是否扩展到 10 个或更多样例提供依据。</w:t>
      </w:r>
    </w:p>
    <w:p>
      <w:pPr>
        <w:pStyle w:val="Heading2"/>
      </w:pPr>
      <w:r>
        <w:t xml:space="preserve">4.4 可选改进方向</w:t>
      </w:r>
    </w:p>
    <w:p>
      <w:r>
        <w:t xml:space="preserve">在官方流程复现完成后，可根据时间选择一个轻量改进方向：一是降低采样规模并比较成本与修复效果变化；二是替换为其他 OpenAI-compatible 模型并比较 resolved 数；三是针对失败样例进行错误分类和 prompt/定位结果分析。上述改进不改变官方主流程，只作为课程报告中的扩展分析。</w:t>
      </w:r>
    </w:p>
    <w:p>
      <w:pPr>
        <w:pStyle w:val="Heading1"/>
      </w:pPr>
      <w:r>
        <w:t xml:space="preserve">5. 风险评估与应对措施</w:t>
      </w:r>
    </w:p>
    <w:tbl>
      <w:tblPr>
        <w:tblStyle w:val="TableGrid"/>
        <w:tblW w:w="0" w:type="auto"/>
        <w:tblLook w:val="04A0" w:firstRow="1" w:lastRow="0" w:firstColumn="1" w:lastColumn="0" w:noHBand="0" w:noVBand="1"/>
      </w:tblPr>
      <w:tblGrid>
        <w:gridCol w:w="2600"/>
        <w:gridCol w:w="2800"/>
        <w:gridCol w:w="4400"/>
      </w:tblGrid>
      <w:tr>
        <w:tc>
          <w:tcPr>
            <w:tcW w:w="2600" w:type="dxa"/>
            <w:shd w:fill="D9EAF7"/>
          </w:tcPr>
          <w:p>
            <w:r>
              <w:rPr>
                <w:b/>
              </w:rPr>
              <w:t xml:space="preserve">风险</w:t>
            </w:r>
          </w:p>
        </w:tc>
        <w:tc>
          <w:tcPr>
            <w:tcW w:w="2600" w:type="dxa"/>
            <w:shd w:fill="D9EAF7"/>
          </w:tcPr>
          <w:p>
            <w:r>
              <w:rPr>
                <w:b/>
              </w:rPr>
              <w:t xml:space="preserve">影响</w:t>
            </w:r>
          </w:p>
        </w:tc>
        <w:tc>
          <w:tcPr>
            <w:tcW w:w="2600" w:type="dxa"/>
            <w:shd w:fill="D9EAF7"/>
          </w:tcPr>
          <w:p>
            <w:r>
              <w:rPr>
                <w:b/>
              </w:rPr>
              <w:t xml:space="preserve">应对措施</w:t>
            </w:r>
          </w:p>
        </w:tc>
      </w:tr>
      <w:tr>
        <w:tc>
          <w:tcPr>
            <w:tcW w:w="2600" w:type="dxa"/>
          </w:tcPr>
          <w:p>
            <w:r>
              <w:t xml:space="preserve">Conda 或依赖安装失败</w:t>
            </w:r>
          </w:p>
        </w:tc>
        <w:tc>
          <w:tcPr>
            <w:tcW w:w="2600" w:type="dxa"/>
          </w:tcPr>
          <w:p>
            <w:r>
              <w:t xml:space="preserve">无法运行官方脚本</w:t>
            </w:r>
          </w:p>
        </w:tc>
        <w:tc>
          <w:tcPr>
            <w:tcW w:w="2600" w:type="dxa"/>
          </w:tcPr>
          <w:p>
            <w:r>
              <w:t xml:space="preserve">优先安装 Miniconda/Mambaforge；必要时记录版本并用 venv 兜底</w:t>
            </w:r>
          </w:p>
        </w:tc>
      </w:tr>
      <w:tr>
        <w:tc>
          <w:tcPr>
            <w:tcW w:w="2600" w:type="dxa"/>
          </w:tcPr>
          <w:p>
            <w:r>
              <w:t xml:space="preserve">Docker 镜像构建时间长或磁盘不足</w:t>
            </w:r>
          </w:p>
        </w:tc>
        <w:tc>
          <w:tcPr>
            <w:tcW w:w="2600" w:type="dxa"/>
          </w:tcPr>
          <w:p>
            <w:r>
              <w:t xml:space="preserve">SWE-bench 评测无法完成</w:t>
            </w:r>
          </w:p>
        </w:tc>
        <w:tc>
          <w:tcPr>
            <w:tcW w:w="2600" w:type="dxa"/>
          </w:tcPr>
          <w:p>
            <w:r>
              <w:t xml:space="preserve">先用单个 gold 样例冒烟测试；控制 max_workers；清理无关镜像和缓存</w:t>
            </w:r>
          </w:p>
        </w:tc>
      </w:tr>
      <w:tr>
        <w:tc>
          <w:tcPr>
            <w:tcW w:w="2600" w:type="dxa"/>
          </w:tcPr>
          <w:p>
            <w:r>
              <w:t xml:space="preserve">API 费用或速率限制</w:t>
            </w:r>
          </w:p>
        </w:tc>
        <w:tc>
          <w:tcPr>
            <w:tcW w:w="2600" w:type="dxa"/>
          </w:tcPr>
          <w:p>
            <w:r>
              <w:t xml:space="preserve">修复和测试生成中断</w:t>
            </w:r>
          </w:p>
        </w:tc>
        <w:tc>
          <w:tcPr>
            <w:tcW w:w="2600" w:type="dxa"/>
          </w:tcPr>
          <w:p>
            <w:r>
              <w:t xml:space="preserve">固定 5 个样例；保留官方采样规模；分阶段运行并缓存中间结果</w:t>
            </w:r>
          </w:p>
        </w:tc>
      </w:tr>
      <w:tr>
        <w:tc>
          <w:tcPr>
            <w:tcW w:w="2600" w:type="dxa"/>
          </w:tcPr>
          <w:p>
            <w:r>
              <w:t xml:space="preserve">部分样例环境失败</w:t>
            </w:r>
          </w:p>
        </w:tc>
        <w:tc>
          <w:tcPr>
            <w:tcW w:w="2600" w:type="dxa"/>
          </w:tcPr>
          <w:p>
            <w:r>
              <w:t xml:space="preserve">resolved 结果不完整</w:t>
            </w:r>
          </w:p>
        </w:tc>
        <w:tc>
          <w:tcPr>
            <w:tcW w:w="2600" w:type="dxa"/>
          </w:tcPr>
          <w:p>
            <w:r>
              <w:t xml:space="preserve">不根据结果替换样例；将其记录为环境失败并分析原因</w:t>
            </w:r>
          </w:p>
        </w:tc>
      </w:tr>
      <w:tr>
        <w:tc>
          <w:tcPr>
            <w:tcW w:w="2600" w:type="dxa"/>
          </w:tcPr>
          <w:p>
            <w:r>
              <w:t xml:space="preserve">官方仓库版本变化</w:t>
            </w:r>
          </w:p>
        </w:tc>
        <w:tc>
          <w:tcPr>
            <w:tcW w:w="2600" w:type="dxa"/>
          </w:tcPr>
          <w:p>
            <w:r>
              <w:t xml:space="preserve">命令或参数不一致</w:t>
            </w:r>
          </w:p>
        </w:tc>
        <w:tc>
          <w:tcPr>
            <w:tcW w:w="2600" w:type="dxa"/>
          </w:tcPr>
          <w:p>
            <w:r>
              <w:t xml:space="preserve">优先 checkout v1.5.0；若 tag 不可用则记录 commit hash</w:t>
            </w:r>
          </w:p>
        </w:tc>
      </w:tr>
    </w:tbl>
    <w:p>
      <w:pPr>
        <w:jc w:val="center"/>
      </w:pPr>
      <w:r>
        <w:t xml:space="preserve">表3 风险评估与应对措施</w:t>
      </w:r>
    </w:p>
    <w:p>
      <w:pPr>
        <w:pStyle w:val="Heading1"/>
      </w:pPr>
      <w:r>
        <w:t xml:space="preserve">6. 进度安排与预期成效</w:t>
      </w:r>
    </w:p>
    <w:p>
      <w:pPr>
        <w:pStyle w:val="Heading2"/>
      </w:pPr>
      <w:r>
        <w:t xml:space="preserve">6.1 进度安排</w:t>
      </w:r>
    </w:p>
    <w:tbl>
      <w:tblPr>
        <w:tblStyle w:val="TableGrid"/>
        <w:tblW w:w="0" w:type="auto"/>
        <w:tblLook w:val="04A0" w:firstRow="1" w:lastRow="0" w:firstColumn="1" w:lastColumn="0" w:noHBand="0" w:noVBand="1"/>
      </w:tblPr>
      <w:tblGrid>
        <w:gridCol w:w="1800"/>
        <w:gridCol w:w="1800"/>
        <w:gridCol w:w="5800"/>
      </w:tblGrid>
      <w:tr>
        <w:tc>
          <w:tcPr>
            <w:tcW w:w="1800" w:type="dxa"/>
            <w:shd w:fill="D9EAF7"/>
          </w:tcPr>
          <w:p>
            <w:r>
              <w:rPr>
                <w:b/>
              </w:rPr>
              <w:t xml:space="preserve">阶段</w:t>
            </w:r>
          </w:p>
        </w:tc>
        <w:tc>
          <w:tcPr>
            <w:tcW w:w="1800" w:type="dxa"/>
            <w:shd w:fill="D9EAF7"/>
          </w:tcPr>
          <w:p>
            <w:r>
              <w:rPr>
                <w:b/>
              </w:rPr>
              <w:t xml:space="preserve">时间安排</w:t>
            </w:r>
          </w:p>
        </w:tc>
        <w:tc>
          <w:tcPr>
            <w:tcW w:w="1800" w:type="dxa"/>
            <w:shd w:fill="D9EAF7"/>
          </w:tcPr>
          <w:p>
            <w:r>
              <w:rPr>
                <w:b/>
              </w:rPr>
              <w:t xml:space="preserve">主要任务</w:t>
            </w:r>
          </w:p>
        </w:tc>
      </w:tr>
      <w:tr>
        <w:tc>
          <w:tcPr>
            <w:tcW w:w="1800" w:type="dxa"/>
          </w:tcPr>
          <w:p>
            <w:r>
              <w:t xml:space="preserve">第 1 阶段</w:t>
            </w:r>
          </w:p>
        </w:tc>
        <w:tc>
          <w:tcPr>
            <w:tcW w:w="1800" w:type="dxa"/>
          </w:tcPr>
          <w:p>
            <w:r>
              <w:t xml:space="preserve">第 1 周</w:t>
            </w:r>
          </w:p>
        </w:tc>
        <w:tc>
          <w:tcPr>
            <w:tcW w:w="1800" w:type="dxa"/>
          </w:tcPr>
          <w:p>
            <w:r>
              <w:t xml:space="preserve">阅读 AGENTLESS 论文和官方 README；确认实验目标、样例和模型配置</w:t>
            </w:r>
          </w:p>
        </w:tc>
      </w:tr>
      <w:tr>
        <w:tc>
          <w:tcPr>
            <w:tcW w:w="1800" w:type="dxa"/>
          </w:tcPr>
          <w:p>
            <w:r>
              <w:t xml:space="preserve">第 2 阶段</w:t>
            </w:r>
          </w:p>
        </w:tc>
        <w:tc>
          <w:tcPr>
            <w:tcW w:w="1800" w:type="dxa"/>
          </w:tcPr>
          <w:p>
            <w:r>
              <w:t xml:space="preserve">第 2 周</w:t>
            </w:r>
          </w:p>
        </w:tc>
        <w:tc>
          <w:tcPr>
            <w:tcW w:w="1800" w:type="dxa"/>
          </w:tcPr>
          <w:p>
            <w:r>
              <w:t xml:space="preserve">安装 Conda 环境；克隆 Agentless；配置 API key、Docker 和 SWE-bench harness</w:t>
            </w:r>
          </w:p>
        </w:tc>
      </w:tr>
      <w:tr>
        <w:tc>
          <w:tcPr>
            <w:tcW w:w="1800" w:type="dxa"/>
          </w:tcPr>
          <w:p>
            <w:r>
              <w:t xml:space="preserve">第 3 阶段</w:t>
            </w:r>
          </w:p>
        </w:tc>
        <w:tc>
          <w:tcPr>
            <w:tcW w:w="1800" w:type="dxa"/>
          </w:tcPr>
          <w:p>
            <w:r>
              <w:t xml:space="preserve">第 3 周</w:t>
            </w:r>
          </w:p>
        </w:tc>
        <w:tc>
          <w:tcPr>
            <w:tcW w:w="1800" w:type="dxa"/>
          </w:tcPr>
          <w:p>
            <w:r>
              <w:t xml:space="preserve">运行 localization 与 repair；保存中间结果和日志</w:t>
            </w:r>
          </w:p>
        </w:tc>
      </w:tr>
      <w:tr>
        <w:tc>
          <w:tcPr>
            <w:tcW w:w="1800" w:type="dxa"/>
          </w:tcPr>
          <w:p>
            <w:r>
              <w:t xml:space="preserve">第 4 阶段</w:t>
            </w:r>
          </w:p>
        </w:tc>
        <w:tc>
          <w:tcPr>
            <w:tcW w:w="1800" w:type="dxa"/>
          </w:tcPr>
          <w:p>
            <w:r>
              <w:t xml:space="preserve">第 4 周</w:t>
            </w:r>
          </w:p>
        </w:tc>
        <w:tc>
          <w:tcPr>
            <w:tcW w:w="1800" w:type="dxa"/>
          </w:tcPr>
          <w:p>
            <w:r>
              <w:t xml:space="preserve">运行 regression/reproduction validation 与 rerank；生成 all_preds.jsonl</w:t>
            </w:r>
          </w:p>
        </w:tc>
      </w:tr>
      <w:tr>
        <w:tc>
          <w:tcPr>
            <w:tcW w:w="1800" w:type="dxa"/>
          </w:tcPr>
          <w:p>
            <w:r>
              <w:t xml:space="preserve">第 5 阶段</w:t>
            </w:r>
          </w:p>
        </w:tc>
        <w:tc>
          <w:tcPr>
            <w:tcW w:w="1800" w:type="dxa"/>
          </w:tcPr>
          <w:p>
            <w:r>
              <w:t xml:space="preserve">第 5 周</w:t>
            </w:r>
          </w:p>
        </w:tc>
        <w:tc>
          <w:tcPr>
            <w:tcW w:w="1800" w:type="dxa"/>
          </w:tcPr>
          <w:p>
            <w:r>
              <w:t xml:space="preserve">运行 SWE-bench evaluation；整理 resolved/failed 结果</w:t>
            </w:r>
          </w:p>
        </w:tc>
      </w:tr>
      <w:tr>
        <w:tc>
          <w:tcPr>
            <w:tcW w:w="1800" w:type="dxa"/>
          </w:tcPr>
          <w:p>
            <w:r>
              <w:t xml:space="preserve">第 6 阶段</w:t>
            </w:r>
          </w:p>
        </w:tc>
        <w:tc>
          <w:tcPr>
            <w:tcW w:w="1800" w:type="dxa"/>
          </w:tcPr>
          <w:p>
            <w:r>
              <w:t xml:space="preserve">第 6 周</w:t>
            </w:r>
          </w:p>
        </w:tc>
        <w:tc>
          <w:tcPr>
            <w:tcW w:w="1800" w:type="dxa"/>
          </w:tcPr>
          <w:p>
            <w:r>
              <w:t xml:space="preserve">完成实验分析、风险说明、报告撰写和材料归档</w:t>
            </w:r>
          </w:p>
        </w:tc>
      </w:tr>
    </w:tbl>
    <w:p>
      <w:pPr>
        <w:jc w:val="center"/>
      </w:pPr>
      <w:r>
        <w:t xml:space="preserve">表4 进度安排</w:t>
      </w:r>
    </w:p>
    <w:p>
      <w:pPr>
        <w:pStyle w:val="Heading2"/>
      </w:pPr>
      <w:r>
        <w:t xml:space="preserve">6.2 预期成效</w:t>
      </w:r>
    </w:p>
    <w:tbl>
      <w:tblPr>
        <w:tblStyle w:val="TableGrid"/>
        <w:tblW w:w="0" w:type="auto"/>
        <w:tblLook w:val="04A0" w:firstRow="1" w:lastRow="0" w:firstColumn="1" w:lastColumn="0" w:noHBand="0" w:noVBand="1"/>
      </w:tblPr>
      <w:tblGrid>
        <w:gridCol w:w="2400"/>
        <w:gridCol w:w="6800"/>
      </w:tblGrid>
      <w:tr>
        <w:tc>
          <w:tcPr>
            <w:tcW w:w="2400" w:type="dxa"/>
            <w:shd w:fill="D9EAF7"/>
          </w:tcPr>
          <w:p>
            <w:r>
              <w:rPr>
                <w:b/>
              </w:rPr>
              <w:t xml:space="preserve">成果类型</w:t>
            </w:r>
          </w:p>
        </w:tc>
        <w:tc>
          <w:tcPr>
            <w:tcW w:w="2400" w:type="dxa"/>
            <w:shd w:fill="D9EAF7"/>
          </w:tcPr>
          <w:p>
            <w:r>
              <w:rPr>
                <w:b/>
              </w:rPr>
              <w:t xml:space="preserve">预期内容</w:t>
            </w:r>
          </w:p>
        </w:tc>
      </w:tr>
      <w:tr>
        <w:tc>
          <w:tcPr>
            <w:tcW w:w="2400" w:type="dxa"/>
          </w:tcPr>
          <w:p>
            <w:r>
              <w:t xml:space="preserve">实验环境</w:t>
            </w:r>
          </w:p>
        </w:tc>
        <w:tc>
          <w:tcPr>
            <w:tcW w:w="2400" w:type="dxa"/>
          </w:tcPr>
          <w:p>
            <w:r>
              <w:t xml:space="preserve">可复用的 WSL2 + Conda + Docker + Agentless 运行环境</w:t>
            </w:r>
          </w:p>
        </w:tc>
      </w:tr>
      <w:tr>
        <w:tc>
          <w:tcPr>
            <w:tcW w:w="2400" w:type="dxa"/>
          </w:tcPr>
          <w:p>
            <w:r>
              <w:t xml:space="preserve">实验脚本</w:t>
            </w:r>
          </w:p>
        </w:tc>
        <w:tc>
          <w:tcPr>
            <w:tcW w:w="2400" w:type="dxa"/>
          </w:tcPr>
          <w:p>
            <w:r>
              <w:t xml:space="preserve">官方流程运行命令、固定样例配置和结果保存路径</w:t>
            </w:r>
          </w:p>
        </w:tc>
      </w:tr>
      <w:tr>
        <w:tc>
          <w:tcPr>
            <w:tcW w:w="2400" w:type="dxa"/>
          </w:tcPr>
          <w:p>
            <w:r>
              <w:t xml:space="preserve">实验结果</w:t>
            </w:r>
          </w:p>
        </w:tc>
        <w:tc>
          <w:tcPr>
            <w:tcW w:w="2400" w:type="dxa"/>
          </w:tcPr>
          <w:p>
            <w:r>
              <w:t xml:space="preserve">5 个样例的 all_preds.jsonl、evaluation results、阶段日志和 resolved/failed 表格</w:t>
            </w:r>
          </w:p>
        </w:tc>
      </w:tr>
      <w:tr>
        <w:tc>
          <w:tcPr>
            <w:tcW w:w="2400" w:type="dxa"/>
          </w:tcPr>
          <w:p>
            <w:r>
              <w:t xml:space="preserve">分析报告</w:t>
            </w:r>
          </w:p>
        </w:tc>
        <w:tc>
          <w:tcPr>
            <w:tcW w:w="2400" w:type="dxa"/>
          </w:tcPr>
          <w:p>
            <w:r>
              <w:t xml:space="preserve">定位、修复、验证三个阶段的失败原因分析和成本统计</w:t>
            </w:r>
          </w:p>
        </w:tc>
      </w:tr>
      <w:tr>
        <w:tc>
          <w:tcPr>
            <w:tcW w:w="2400" w:type="dxa"/>
          </w:tcPr>
          <w:p>
            <w:r>
              <w:t xml:space="preserve">课程提交材料</w:t>
            </w:r>
          </w:p>
        </w:tc>
        <w:tc>
          <w:tcPr>
            <w:tcW w:w="2400" w:type="dxa"/>
          </w:tcPr>
          <w:p>
            <w:r>
              <w:t xml:space="preserve">开题报告、复现实验报告、关键运行截图或日志摘要</w:t>
            </w:r>
          </w:p>
        </w:tc>
      </w:tr>
    </w:tbl>
    <w:p>
      <w:pPr>
        <w:jc w:val="center"/>
      </w:pPr>
      <w:r>
        <w:t xml:space="preserve">表5 预期成果</w:t>
      </w:r>
    </w:p>
    <w:p>
      <w:pPr>
        <w:pStyle w:val="Heading1"/>
      </w:pPr>
      <w:r>
        <w:t xml:space="preserve">7. 结论</w:t>
      </w:r>
    </w:p>
    <w:p>
      <w:r>
        <w:t xml:space="preserve">本课题面向 LLM 辅助软件质量保障中的自动代码修复问题，选择 AGENTLESS 作为复现对象，计划基于官方实现完成 SWE-bench Lite 小规模流程复现。研究将重点关注从 issue 到补丁的完整工程链路，包括故障定位、候选补丁生成、补丁验证和最终评测。通过固定样例、固定模型和保留官方采样规模，本课题能够在可控成本下获得具有可解释性的复现实验结果。后续工作将按照既定进度完成环境搭建、官方流程运行、实验记录和报告撰写，并对失败样例与工程风险进行分析。</w:t>
      </w:r>
    </w:p>
    <w:p>
      <w:pPr>
        <w:pStyle w:val="Heading1"/>
      </w:pPr>
      <w:r>
        <w:t xml:space="preserve">参考文献</w:t>
      </w:r>
    </w:p>
    <w:p>
      <w:r>
        <w:t xml:space="preserve">[1] Xia C S, Deng Y, Dunn S, Zhang L. Agentless: Demystifying LLM-based Software Engineering Agents. arXiv:2407.01489, 2024.</w:t>
      </w:r>
    </w:p>
    <w:p>
      <w:r>
        <w:t xml:space="preserve">[2] Jimenez C E, Yang J, Wettig A, et al. SWE-bench: Can Language Models Resolve Real-World GitHub Issues? arXiv:2310.06770, 2023.</w:t>
      </w:r>
    </w:p>
    <w:p>
      <w:r>
        <w:t xml:space="preserve">[3] OpenAutoCoder. Agentless official repository. https://github.com/OpenAutoCoder/Agentless.</w:t>
      </w:r>
    </w:p>
    <w:p>
      <w:r>
        <w:t xml:space="preserve">[4] SWE-bench Team. SWE-bench official repository and evaluation harness. https://github.com/swe-bench/SWE-bench.</w:t>
      </w:r>
    </w:p>
    <w:p>
      <w:r>
        <w:t xml:space="preserve">[5] Princeton NLP. SWE-bench Lite dataset. https://huggingface.co/datasets/princeton-nlp/SWE-bench_Lite.</w:t>
      </w:r>
    </w:p>
    <w:sectPr>
      <w:pgSz w:w="11906" w:h="16838"/>
      <w:pgMar w:top="1440" w:right="1440" w:bottom="1440" w:left="1440" w:header="708" w:footer="708" w:gutter="0"/>
      <w:cols w:space="708"/>
      <w:docGrid w:linePitch="312"/>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abstractNum>
  <w:abstractNum w:abstractNumId="1">
    <w:multiLevelType w:val="hybridMultilevel"/>
    <w:lvl w:ilvl="0">
      <w:start w:val="1"/>
      <w:numFmt w:val="bullet"/>
      <w:lvlText w:val="•"/>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eastAsia="宋体" w:hAnsi="Times New Roman"/>
        <w:sz w:val="24"/>
        <w:szCs w:val="24"/>
      </w:rPr>
    </w:rPrDefault>
    <w:pPrDefault>
      <w:pPr>
        <w:spacing w:after="120" w:line="360" w:lineRule="auto"/>
      </w:pPr>
    </w:pPrDefault>
  </w:docDefaults>
  <w:style w:type="paragraph" w:default="1" w:styleId="Normal">
    <w:name w:val="Normal"/>
    <w:qFormat/>
  </w:style>
  <w:style w:type="paragraph" w:styleId="Title">
    <w:name w:val="Title"/>
    <w:basedOn w:val="Normal"/>
    <w:next w:val="Normal"/>
    <w:qFormat/>
    <w:rPr>
      <w:rFonts w:eastAsia="黑体"/>
      <w:b/>
      <w:sz w:val="36"/>
    </w:rPr>
    <w:pPr>
      <w:spacing w:after="240"/>
    </w:pPr>
  </w:style>
  <w:style w:type="paragraph" w:styleId="Subtitle">
    <w:name w:val="Subtitle"/>
    <w:basedOn w:val="Normal"/>
    <w:next w:val="Normal"/>
    <w:qFormat/>
    <w:rPr>
      <w:rFonts w:eastAsia="黑体"/>
      <w:sz w:val="28"/>
    </w:rPr>
  </w:style>
  <w:style w:type="paragraph" w:styleId="Heading1">
    <w:name w:val="heading 1"/>
    <w:basedOn w:val="Normal"/>
    <w:next w:val="Normal"/>
    <w:qFormat/>
    <w:uiPriority w:val="9"/>
    <w:pPr>
      <w:keepNext/>
      <w:spacing w:before="240" w:after="120"/>
    </w:pPr>
    <w:rPr>
      <w:rFonts w:eastAsia="黑体"/>
      <w:b/>
      <w:sz w:val="30"/>
    </w:rPr>
  </w:style>
  <w:style w:type="paragraph" w:styleId="Heading2">
    <w:name w:val="heading 2"/>
    <w:basedOn w:val="Normal"/>
    <w:next w:val="Normal"/>
    <w:qFormat/>
    <w:uiPriority w:val="9"/>
    <w:pPr>
      <w:keepNext/>
      <w:spacing w:before="180" w:after="80"/>
    </w:pPr>
    <w:rPr>
      <w:rFonts w:eastAsia="黑体"/>
      <w:b/>
      <w:sz w:val="26"/>
    </w:rPr>
  </w:style>
  <w:style w:type="table" w:styleId="TableGrid">
    <w:name w:val="Table Grid"/>
    <w:basedOn w:val="TableNormal"/>
    <w:uiPriority w:val="59"/>
    <w:rsid w:val="00000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