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jc w:val="center"/>
      </w:pPr>
      <w:r>
        <w:t xml:space="preserve">面向并发缺陷的 AGENTLESS 自动程序修复复现与轻量增强研究</w:t>
      </w:r>
    </w:p>
    <w:p>
      <w:r>
        <w:t xml:space="preserve"/>
      </w:r>
    </w:p>
    <w:p>
      <w:r>
        <w:t xml:space="preserve">摘要：随着大型语言模型在软件工程任务中的应用不断深入，自动程序修复逐渐从传统规则驱动方法转向基于真实问题描述和代码上下文的智能修复方法。AGENTLESS 提出了一种无需复杂 agent 交互的自动程序修复流程，通过文件级定位、相关元素定位、细粒度定位和补丁生成完成 SWE-bench 缺陷修复。本研究针对该方法在本地环境中的复现和课程作业中对并发代码修复的要求，拟基于 AGENTLESS 完成 SWE-bench Lite 基础案例复现，并构造一个线程竞态类自定义并发缺陷案例，引入并发语义提示、补丁风险检查和多轮稳定性评测三个轻量改进。预期形成一套可复现、可评测、可解释的 LLM 辅助并发缺陷修复流程，为理解自动程序修复方法在并发场景下的适用性提供实验依据。</w:t>
      </w:r>
    </w:p>
    <w:p>
      <w:r>
        <w:t xml:space="preserve">关键词：AGENTLESS；自动程序修复；SWE-bench；并发缺陷；大语言模型；稳定性评测</w:t>
      </w:r>
    </w:p>
    <w:p>
      <w:pPr>
        <w:pStyle w:val="Heading1"/>
      </w:pPr>
      <w:r>
        <w:t xml:space="preserve">1. 研究意义</w:t>
      </w:r>
    </w:p>
    <w:p>
      <w:pPr>
        <w:pStyle w:val="Heading2"/>
      </w:pPr>
      <w:r>
        <w:t xml:space="preserve">1.1 研究背景</w:t>
      </w:r>
    </w:p>
    <w:p>
      <w:r>
        <w:t xml:space="preserve">软件系统规模持续扩大，代码缺陷定位与修复成本不断上升。传统自动程序修复方法通常依赖规则模板、测试用例或静态分析信息，在真实开源项目中容易受到上下文不足和补丁表达能力有限的约束。近年来，大语言模型具备较强的代码理解和生成能力，能够基于自然语言 issue、代码片段和测试反馈生成修复补丁，为自动程序修复提供了新的技术路径。</w:t>
      </w:r>
    </w:p>
    <w:p>
      <w:r>
        <w:t xml:space="preserve">SWE-bench 将真实 GitHub issue 与对应测试结合起来，提供了更接近真实工程场景的自动修复评测基准。AGENTLESS 在此基础上提出非交互式修复流程，将复杂 agent 决策拆解为定位、修复和评测步骤，具有流程清晰、复现实验容易控制的特点。</w:t>
      </w:r>
    </w:p>
    <w:tbl>
      <w:tblPr>
        <w:tblW w:w="0" w:type="auto"/>
        <w:tblBorders>
          <w:top w:val="single" w:sz="8"/>
          <w:left w:val="single" w:sz="8"/>
          <w:bottom w:val="single" w:sz="8"/>
          <w:right w:val="single" w:sz="8"/>
        </w:tblBorders>
      </w:tblPr>
      <w:tr>
        <w:tc>
          <w:tcPr>
            <w:tcW w:w="9000" w:type="dxa"/>
            <w:shd w:fill="F5F5F5"/>
          </w:tcPr>
          <w:p>
            <w:pPr>
              <w:jc w:val="center"/>
            </w:pPr>
            <w:r>
              <w:rPr>
                <w:b/>
              </w:rPr>
              <w:t xml:space="preserve">[图片占位符]</w:t>
            </w:r>
          </w:p>
          <w:p>
            <w:pPr>
              <w:jc w:val="center"/>
            </w:pPr>
            <w:r>
              <w:t xml:space="preserve">图1 AGENTLESS 自动程序修复基本流程图占位符</w:t>
            </w:r>
          </w:p>
          <w:p>
            <w:pPr>
              <w:jc w:val="center"/>
            </w:pPr>
            <w:r>
              <w:t xml:space="preserve">建议补充内容：Issue 描述 -&gt; 文件级定位 -&gt; 相关元素定位 -&gt; 细粒度定位 -&gt; LLM 生成补丁 -&gt; 测试评测。</w:t>
            </w:r>
          </w:p>
          <w:p>
            <w:pPr>
              <w:jc w:val="center"/>
            </w:pPr>
            <w:r>
              <w:t xml:space="preserve">请在此处替换为流程图、截图或实验结果图。</w:t>
            </w:r>
          </w:p>
        </w:tc>
      </w:tr>
    </w:tbl>
    <w:p>
      <w:r>
        <w:t xml:space="preserve"/>
      </w:r>
    </w:p>
    <w:p>
      <w:pPr>
        <w:pStyle w:val="Heading2"/>
      </w:pPr>
      <w:r>
        <w:t xml:space="preserve">1.2 研究缺口</w:t>
      </w:r>
    </w:p>
    <w:p>
      <w:r>
        <w:t xml:space="preserve">现有复现工作多关注普通确定性缺陷，而课程作业要求关注并发代码修复。并发缺陷具有非确定性特征，同一段代码是否失败可能受线程调度、运行环境和测试压力影响。若仍采用单次测试结果作为评判依据，可能无法充分说明补丁是否稳定修复问题。</w:t>
      </w:r>
    </w:p>
    <w:p>
      <w:r>
        <w:t xml:space="preserve">此外，通用 LLM 修复提示往往没有明确强调共享状态、读-改-写序列、临界区和锁覆盖范围等并发语义，模型可能生成局部正确但并发语义不足的补丁。因此，有必要在 AGENTLESS 基础复现之上，引入面向并发缺陷的轻量增强。</w:t>
      </w:r>
    </w:p>
    <w:p>
      <w:pPr>
        <w:pStyle w:val="Heading2"/>
      </w:pPr>
      <w:r>
        <w:t xml:space="preserve">1.3 研究价值</w:t>
      </w:r>
    </w:p>
    <w:p>
      <w:r>
        <w:t xml:space="preserve">本研究具有工程与教学双重价值。工程上，通过复现 AGENTLESS 与 SWE-bench 评测流程，可以形成一套从 issue 到补丁再到测试结果的端到端实验链路。教学上，通过构造自定义并发缺陷并加入稳定性评测和风险分析，可以更直接地展示并发 bug 的修复特点和 LLM 自动修复方法的局限。</w:t>
      </w:r>
    </w:p>
    <w:p>
      <w:pPr>
        <w:pStyle w:val="Heading1"/>
      </w:pPr>
      <w:r>
        <w:t xml:space="preserve">2. 相关现状调研</w:t>
      </w:r>
    </w:p>
    <w:p>
      <w:pPr>
        <w:pStyle w:val="Heading2"/>
      </w:pPr>
      <w:r>
        <w:t xml:space="preserve">2.1 技术发展脉络</w:t>
      </w:r>
    </w:p>
    <w:p>
      <w:r>
        <w:t xml:space="preserve">自动程序修复研究早期主要依赖搜索、遗传编程、模板匹配和静态分析等方法。这类方法通常需要预先设计修复模式，能够在特定类型缺陷上取得效果，但面对真实项目中的复杂语义缺陷时扩展性不足。随着预训练语言模型和大语言模型的发展，研究者开始将自然语言问题描述、代码上下文和测试反馈共同作为输入，让模型直接生成候选补丁。</w:t>
      </w:r>
    </w:p>
    <w:p>
      <w:pPr>
        <w:pStyle w:val="Heading2"/>
      </w:pPr>
      <w:r>
        <w:t xml:space="preserve">2.2 关键技术现状</w:t>
      </w:r>
    </w:p>
    <w:p>
      <w:r>
        <w:t xml:space="preserve">当前基于 LLM 的自动程序修复通常包含三个关键环节：第一是缺陷上下文构建，即从大型代码库中选择与 issue 相关的文件和代码片段；第二是补丁生成，即让模型根据上下文生成可应用的 diff 或编辑命令；第三是补丁验证，即通过测试或静态检查判断补丁是否正确。AGENTLESS 将这些环节拆解为定位、修复和评测流程，降低了 agent 交互复杂度。</w:t>
      </w:r>
    </w:p>
    <w:p>
      <w:pPr>
        <w:pStyle w:val="Heading2"/>
      </w:pPr>
      <w:r>
        <w:t xml:space="preserve">2.3 并发缺陷修复现状</w:t>
      </w:r>
    </w:p>
    <w:p>
      <w:r>
        <w:t xml:space="preserve">并发缺陷通常包括数据竞争、死锁、原子性违反、顺序违反和异步任务调度错误等类型。与普通功能缺陷相比，并发缺陷的触发条件更不稳定，测试用例需要通过多线程压力、重复执行或超时机制提高暴露概率。因此，对于并发代码修复，单次测试通过并不能完全说明补丁可靠。</w:t>
      </w:r>
    </w:p>
    <w:p>
      <w:pPr>
        <w:pStyle w:val="Heading2"/>
      </w:pPr>
      <w:r>
        <w:t xml:space="preserve">2.4 最新研究进展</w:t>
      </w:r>
    </w:p>
    <w:p>
      <w:r>
        <w:t xml:space="preserve">SWE-bench 等真实基准推动了自动程序修复从小型合成任务走向真实开源仓库。与此同时，越来越多研究开始关注补丁正确性、测试充分性和评测可解释性。对于课程项目而言，在完整复现官方流程的基础上增加面向并发缺陷的稳定性评测和补丁风险检查，是一种成本较低但针对性明确的改进方向。</w:t>
      </w:r>
    </w:p>
    <w:p>
      <w:pPr>
        <w:pStyle w:val="Heading1"/>
      </w:pPr>
      <w:r>
        <w:t xml:space="preserve">3. 已有基础与工具搭建情况</w:t>
      </w:r>
    </w:p>
    <w:p>
      <w:pPr>
        <w:pStyle w:val="Heading2"/>
      </w:pPr>
      <w:r>
        <w:t xml:space="preserve">3.1 基础项目复现情况</w:t>
      </w:r>
    </w:p>
    <w:p>
      <w:r>
        <w:t xml:space="preserve">本项目已经完成 AGENTLESS 在本地 WSL + Docker 环境中的基础复现，并接入 DeepSeek V4 Pro High 作为 OpenAI-compatible LLM 后端。已完成 5 个 SWE-bench Lite Astropy 基础案例的定位、修复和 SWE-bench Docker 评测。</w:t>
      </w:r>
    </w:p>
    <w:tbl>
      <w:tblPr>
        <w:tblStyle w:val="TableGrid"/>
        <w:tblW w:w="0" w:type="auto"/>
        <w:tblBorders>
          <w:top w:val="single" w:sz="4"/>
          <w:left w:val="single" w:sz="4"/>
          <w:bottom w:val="single" w:sz="4"/>
          <w:right w:val="single" w:sz="4"/>
          <w:insideH w:val="single" w:sz="4"/>
          <w:insideV w:val="single" w:sz="4"/>
        </w:tblBorders>
      </w:tblPr>
      <w:tr>
        <w:tc>
          <w:tcPr>
            <w:tcW w:w="2400" w:type="dxa"/>
            <w:shd w:fill="EDEDED"/>
          </w:tcPr>
          <w:p>
            <w:r>
              <w:t xml:space="preserve">指标</w:t>
            </w:r>
          </w:p>
        </w:tc>
        <w:tc>
          <w:tcPr>
            <w:tcW w:w="2400" w:type="dxa"/>
            <w:shd w:fill="EDEDED"/>
          </w:tcPr>
          <w:p>
            <w:r>
              <w:t xml:space="preserve">结果</w:t>
            </w:r>
          </w:p>
        </w:tc>
      </w:tr>
      <w:tr>
        <w:tc>
          <w:tcPr>
            <w:tcW w:w="2400" w:type="dxa"/>
          </w:tcPr>
          <w:p>
            <w:r>
              <w:t xml:space="preserve">基础案例总数</w:t>
            </w:r>
          </w:p>
        </w:tc>
        <w:tc>
          <w:tcPr>
            <w:tcW w:w="2400" w:type="dxa"/>
          </w:tcPr>
          <w:p>
            <w:r>
              <w:t xml:space="preserve">5</w:t>
            </w:r>
          </w:p>
        </w:tc>
      </w:tr>
      <w:tr>
        <w:tc>
          <w:tcPr>
            <w:tcW w:w="2400" w:type="dxa"/>
          </w:tcPr>
          <w:p>
            <w:r>
              <w:t xml:space="preserve">完成官方评测</w:t>
            </w:r>
          </w:p>
        </w:tc>
        <w:tc>
          <w:tcPr>
            <w:tcW w:w="2400" w:type="dxa"/>
          </w:tcPr>
          <w:p>
            <w:r>
              <w:t xml:space="preserve">5</w:t>
            </w:r>
          </w:p>
        </w:tc>
      </w:tr>
      <w:tr>
        <w:tc>
          <w:tcPr>
            <w:tcW w:w="2400" w:type="dxa"/>
          </w:tcPr>
          <w:p>
            <w:r>
              <w:t xml:space="preserve">resolved</w:t>
            </w:r>
          </w:p>
        </w:tc>
        <w:tc>
          <w:tcPr>
            <w:tcW w:w="2400" w:type="dxa"/>
          </w:tcPr>
          <w:p>
            <w:r>
              <w:t xml:space="preserve">3</w:t>
            </w:r>
          </w:p>
        </w:tc>
      </w:tr>
      <w:tr>
        <w:tc>
          <w:tcPr>
            <w:tcW w:w="2400" w:type="dxa"/>
          </w:tcPr>
          <w:p>
            <w:r>
              <w:t xml:space="preserve">unresolved</w:t>
            </w:r>
          </w:p>
        </w:tc>
        <w:tc>
          <w:tcPr>
            <w:tcW w:w="2400" w:type="dxa"/>
          </w:tcPr>
          <w:p>
            <w:r>
              <w:t xml:space="preserve">2</w:t>
            </w:r>
          </w:p>
        </w:tc>
      </w:tr>
      <w:tr>
        <w:tc>
          <w:tcPr>
            <w:tcW w:w="2400" w:type="dxa"/>
          </w:tcPr>
          <w:p>
            <w:r>
              <w:t xml:space="preserve">error</w:t>
            </w:r>
          </w:p>
        </w:tc>
        <w:tc>
          <w:tcPr>
            <w:tcW w:w="2400" w:type="dxa"/>
          </w:tcPr>
          <w:p>
            <w:r>
              <w:t xml:space="preserve">0</w:t>
            </w:r>
          </w:p>
        </w:tc>
      </w:tr>
    </w:tbl>
    <w:p>
      <w:r>
        <w:t xml:space="preserve"/>
      </w:r>
    </w:p>
    <w:p>
      <w:r>
        <w:t xml:space="preserve">基础复现结果表明，AGENTLESS 与 DeepSeek V4 Pro High 能够在本地环境中完成真实缺陷修复流程，但单样本补丁仍可能出现语义不完整问题。</w:t>
      </w:r>
    </w:p>
    <w:tbl>
      <w:tblPr>
        <w:tblW w:w="0" w:type="auto"/>
        <w:tblBorders>
          <w:top w:val="single" w:sz="8"/>
          <w:left w:val="single" w:sz="8"/>
          <w:bottom w:val="single" w:sz="8"/>
          <w:right w:val="single" w:sz="8"/>
        </w:tblBorders>
      </w:tblPr>
      <w:tr>
        <w:tc>
          <w:tcPr>
            <w:tcW w:w="9000" w:type="dxa"/>
            <w:shd w:fill="F5F5F5"/>
          </w:tcPr>
          <w:p>
            <w:pPr>
              <w:jc w:val="center"/>
            </w:pPr>
            <w:r>
              <w:rPr>
                <w:b/>
              </w:rPr>
              <w:t xml:space="preserve">[图片占位符]</w:t>
            </w:r>
          </w:p>
          <w:p>
            <w:pPr>
              <w:jc w:val="center"/>
            </w:pPr>
            <w:r>
              <w:t xml:space="preserve">图2 SWE-bench Docker 评测结果截图占位符</w:t>
            </w:r>
          </w:p>
          <w:p>
            <w:pPr>
              <w:jc w:val="center"/>
            </w:pPr>
            <w:r>
              <w:t xml:space="preserve">建议补充内容：5 个基础案例 resolved/unresolved 汇总截图。</w:t>
            </w:r>
          </w:p>
          <w:p>
            <w:pPr>
              <w:jc w:val="center"/>
            </w:pPr>
            <w:r>
              <w:t xml:space="preserve">请在此处替换为流程图、截图或实验结果图。</w:t>
            </w:r>
          </w:p>
        </w:tc>
      </w:tr>
    </w:tbl>
    <w:p>
      <w:r>
        <w:t xml:space="preserve"/>
      </w:r>
    </w:p>
    <w:p>
      <w:pPr>
        <w:pStyle w:val="Heading2"/>
      </w:pPr>
      <w:r>
        <w:t xml:space="preserve">3.2 自定义并发案例搭建情况</w:t>
      </w:r>
    </w:p>
    <w:p>
      <w:r>
        <w:t xml:space="preserve">为满足并发代码修复要求，本项目新增了 `benchmarks/concurrent_counter/` 自定义并发缺陷项目。该项目中的 `ConcurrentCounter.increment()` 存在典型读-改-写竞态：多个线程可能读取相同旧值并覆盖彼此更新，导致最终计数小于预期。</w:t>
      </w:r>
    </w:p>
    <w:p>
      <w:r>
        <w:t xml:space="preserve">同时，项目将该并发缺陷包装为 SWE-bench 风格 case，包含 `problem_statement`、`test_patch`、`FAIL_TO_PASS`、`PASS_TO_PASS` 和项目结构快照，使其能够接入 AGENTLESS 的定位和修复流程。</w:t>
      </w:r>
    </w:p>
    <w:tbl>
      <w:tblPr>
        <w:tblW w:w="0" w:type="auto"/>
        <w:tblBorders>
          <w:top w:val="single" w:sz="8"/>
          <w:left w:val="single" w:sz="8"/>
          <w:bottom w:val="single" w:sz="8"/>
          <w:right w:val="single" w:sz="8"/>
        </w:tblBorders>
      </w:tblPr>
      <w:tr>
        <w:tc>
          <w:tcPr>
            <w:tcW w:w="9000" w:type="dxa"/>
            <w:shd w:fill="F5F5F5"/>
          </w:tcPr>
          <w:p>
            <w:pPr>
              <w:jc w:val="center"/>
            </w:pPr>
            <w:r>
              <w:rPr>
                <w:b/>
              </w:rPr>
              <w:t xml:space="preserve">[图片占位符]</w:t>
            </w:r>
          </w:p>
          <w:p>
            <w:pPr>
              <w:jc w:val="center"/>
            </w:pPr>
            <w:r>
              <w:t xml:space="preserve">图3 自定义 ConcurrentCounter 并发缺陷代码截图占位符</w:t>
            </w:r>
          </w:p>
          <w:p>
            <w:pPr>
              <w:jc w:val="center"/>
            </w:pPr>
            <w:r>
              <w:t xml:space="preserve">建议补充内容：展示未加锁的 increment 方法。</w:t>
            </w:r>
          </w:p>
          <w:p>
            <w:pPr>
              <w:jc w:val="center"/>
            </w:pPr>
            <w:r>
              <w:t xml:space="preserve">请在此处替换为流程图、截图或实验结果图。</w:t>
            </w:r>
          </w:p>
        </w:tc>
      </w:tr>
    </w:tbl>
    <w:p>
      <w:r>
        <w:t xml:space="preserve"/>
      </w:r>
    </w:p>
    <w:p>
      <w:pPr>
        <w:pStyle w:val="Heading2"/>
      </w:pPr>
      <w:r>
        <w:t xml:space="preserve">3.3 本地评测器搭建情况</w:t>
      </w:r>
    </w:p>
    <w:p>
      <w:r>
        <w:t xml:space="preserve">由于自定义本地项目不直接属于 SWE-bench 官方 Docker 支持范围，本研究实现了 `scripts/evaluate_custom_concurrency.py` 本地 evaluator。该工具会复制被测项目、应用测试补丁、应用模型补丁并运行 pytest，输出 resolved、stable_resolved、pass_rate 和 patch_risk 等指标。</w:t>
      </w:r>
    </w:p>
    <w:p>
      <w:pPr>
        <w:pStyle w:val="Heading1"/>
      </w:pPr>
      <w:r>
        <w:t xml:space="preserve">4. 研究内容与改进方案</w:t>
      </w:r>
    </w:p>
    <w:p>
      <w:pPr>
        <w:pStyle w:val="Heading2"/>
      </w:pPr>
      <w:r>
        <w:t xml:space="preserve">4.1 改进方案一：并发稳定性评测</w:t>
      </w:r>
    </w:p>
    <w:p>
      <w:r>
        <w:t xml:space="preserve">原始评测流程通常只运行一次测试，输出 resolved 或 unresolved。针对并发缺陷受线程调度影响的问题，本研究在 evaluator 中引入 `--repeat N` 参数，对同一补丁重复运行测试，统计通过率和稳定通过情况。</w:t>
      </w:r>
    </w:p>
    <w:tbl>
      <w:tblPr>
        <w:tblStyle w:val="TableGrid"/>
        <w:tblW w:w="0" w:type="auto"/>
        <w:tblBorders>
          <w:top w:val="single" w:sz="4"/>
          <w:left w:val="single" w:sz="4"/>
          <w:bottom w:val="single" w:sz="4"/>
          <w:right w:val="single" w:sz="4"/>
          <w:insideH w:val="single" w:sz="4"/>
          <w:insideV w:val="single" w:sz="4"/>
        </w:tblBorders>
      </w:tblPr>
      <w:tr>
        <w:tc>
          <w:tcPr>
            <w:tcW w:w="2400" w:type="dxa"/>
            <w:shd w:fill="EDEDED"/>
          </w:tcPr>
          <w:p>
            <w:r>
              <w:t xml:space="preserve">指标</w:t>
            </w:r>
          </w:p>
        </w:tc>
        <w:tc>
          <w:tcPr>
            <w:tcW w:w="2400" w:type="dxa"/>
            <w:shd w:fill="EDEDED"/>
          </w:tcPr>
          <w:p>
            <w:r>
              <w:t xml:space="preserve">含义</w:t>
            </w:r>
          </w:p>
        </w:tc>
        <w:tc>
          <w:tcPr>
            <w:tcW w:w="2400" w:type="dxa"/>
            <w:shd w:fill="EDEDED"/>
          </w:tcPr>
          <w:p>
            <w:r>
              <w:t xml:space="preserve">评价方式</w:t>
            </w:r>
          </w:p>
        </w:tc>
      </w:tr>
      <w:tr>
        <w:tc>
          <w:tcPr>
            <w:tcW w:w="2400" w:type="dxa"/>
          </w:tcPr>
          <w:p>
            <w:r>
              <w:t xml:space="preserve">repeat</w:t>
            </w:r>
          </w:p>
        </w:tc>
        <w:tc>
          <w:tcPr>
            <w:tcW w:w="2400" w:type="dxa"/>
          </w:tcPr>
          <w:p>
            <w:r>
              <w:t xml:space="preserve">重复测试次数</w:t>
            </w:r>
          </w:p>
        </w:tc>
        <w:tc>
          <w:tcPr>
            <w:tcW w:w="2400" w:type="dxa"/>
          </w:tcPr>
          <w:p>
            <w:r>
              <w:t xml:space="preserve">默认 10，可调整</w:t>
            </w:r>
          </w:p>
        </w:tc>
      </w:tr>
      <w:tr>
        <w:tc>
          <w:tcPr>
            <w:tcW w:w="2400" w:type="dxa"/>
          </w:tcPr>
          <w:p>
            <w:r>
              <w:t xml:space="preserve">passed_runs</w:t>
            </w:r>
          </w:p>
        </w:tc>
        <w:tc>
          <w:tcPr>
            <w:tcW w:w="2400" w:type="dxa"/>
          </w:tcPr>
          <w:p>
            <w:r>
              <w:t xml:space="preserve">通过轮数</w:t>
            </w:r>
          </w:p>
        </w:tc>
        <w:tc>
          <w:tcPr>
            <w:tcW w:w="2400" w:type="dxa"/>
          </w:tcPr>
          <w:p>
            <w:r>
              <w:t xml:space="preserve">越高越好</w:t>
            </w:r>
          </w:p>
        </w:tc>
      </w:tr>
      <w:tr>
        <w:tc>
          <w:tcPr>
            <w:tcW w:w="2400" w:type="dxa"/>
          </w:tcPr>
          <w:p>
            <w:r>
              <w:t xml:space="preserve">failed_runs</w:t>
            </w:r>
          </w:p>
        </w:tc>
        <w:tc>
          <w:tcPr>
            <w:tcW w:w="2400" w:type="dxa"/>
          </w:tcPr>
          <w:p>
            <w:r>
              <w:t xml:space="preserve">失败轮数</w:t>
            </w:r>
          </w:p>
        </w:tc>
        <w:tc>
          <w:tcPr>
            <w:tcW w:w="2400" w:type="dxa"/>
          </w:tcPr>
          <w:p>
            <w:r>
              <w:t xml:space="preserve">越低越好</w:t>
            </w:r>
          </w:p>
        </w:tc>
      </w:tr>
      <w:tr>
        <w:tc>
          <w:tcPr>
            <w:tcW w:w="2400" w:type="dxa"/>
          </w:tcPr>
          <w:p>
            <w:r>
              <w:t xml:space="preserve">pass_rate</w:t>
            </w:r>
          </w:p>
        </w:tc>
        <w:tc>
          <w:tcPr>
            <w:tcW w:w="2400" w:type="dxa"/>
          </w:tcPr>
          <w:p>
            <w:r>
              <w:t xml:space="preserve">通过率</w:t>
            </w:r>
          </w:p>
        </w:tc>
        <w:tc>
          <w:tcPr>
            <w:tcW w:w="2400" w:type="dxa"/>
          </w:tcPr>
          <w:p>
            <w:r>
              <w:t xml:space="preserve">越接近 1.0 越稳定</w:t>
            </w:r>
          </w:p>
        </w:tc>
      </w:tr>
      <w:tr>
        <w:tc>
          <w:tcPr>
            <w:tcW w:w="2400" w:type="dxa"/>
          </w:tcPr>
          <w:p>
            <w:r>
              <w:t xml:space="preserve">stable_resolved</w:t>
            </w:r>
          </w:p>
        </w:tc>
        <w:tc>
          <w:tcPr>
            <w:tcW w:w="2400" w:type="dxa"/>
          </w:tcPr>
          <w:p>
            <w:r>
              <w:t xml:space="preserve">是否全部通过</w:t>
            </w:r>
          </w:p>
        </w:tc>
        <w:tc>
          <w:tcPr>
            <w:tcW w:w="2400" w:type="dxa"/>
          </w:tcPr>
          <w:p>
            <w:r>
              <w:t xml:space="preserve">true 表示多轮稳定通过</w:t>
            </w:r>
          </w:p>
        </w:tc>
      </w:tr>
    </w:tbl>
    <w:p>
      <w:r>
        <w:t xml:space="preserve"/>
      </w:r>
    </w:p>
    <w:p>
      <w:pPr>
        <w:pStyle w:val="Heading2"/>
      </w:pPr>
      <w:r>
        <w:t xml:space="preserve">4.2 改进方案二：并发语义增强 Prompt</w:t>
      </w:r>
    </w:p>
    <w:p>
      <w:r>
        <w:t xml:space="preserve">本研究在 AGENTLESS repair 阶段新增 `--concurrency_hint` 参数。启用后，prompt 会提醒 LLM 关注共享可变状态、读-改-写序列、临界区、锁覆盖范围和顺序行为保持。该改动只在自定义并发脚本中启用，不影响基础 SWE-bench 复现结果。</w:t>
      </w:r>
    </w:p>
    <w:tbl>
      <w:tblPr>
        <w:tblW w:w="0" w:type="auto"/>
        <w:tblBorders>
          <w:top w:val="single" w:sz="8"/>
          <w:left w:val="single" w:sz="8"/>
          <w:bottom w:val="single" w:sz="8"/>
          <w:right w:val="single" w:sz="8"/>
        </w:tblBorders>
      </w:tblPr>
      <w:tr>
        <w:tc>
          <w:tcPr>
            <w:tcW w:w="9000" w:type="dxa"/>
            <w:shd w:fill="F5F5F5"/>
          </w:tcPr>
          <w:p>
            <w:pPr>
              <w:jc w:val="center"/>
            </w:pPr>
            <w:r>
              <w:rPr>
                <w:b/>
              </w:rPr>
              <w:t xml:space="preserve">[图片占位符]</w:t>
            </w:r>
          </w:p>
          <w:p>
            <w:pPr>
              <w:jc w:val="center"/>
            </w:pPr>
            <w:r>
              <w:t xml:space="preserve">图4 并发语义增强 Prompt 截图占位符</w:t>
            </w:r>
          </w:p>
          <w:p>
            <w:pPr>
              <w:jc w:val="center"/>
            </w:pPr>
            <w:r>
              <w:t xml:space="preserve">建议补充内容：展示 repair 日志中 Concurrency Repair Guidance 片段。</w:t>
            </w:r>
          </w:p>
          <w:p>
            <w:pPr>
              <w:jc w:val="center"/>
            </w:pPr>
            <w:r>
              <w:t xml:space="preserve">请在此处替换为流程图、截图或实验结果图。</w:t>
            </w:r>
          </w:p>
        </w:tc>
      </w:tr>
    </w:tbl>
    <w:p>
      <w:r>
        <w:t xml:space="preserve"/>
      </w:r>
    </w:p>
    <w:p>
      <w:pPr>
        <w:pStyle w:val="Heading2"/>
      </w:pPr>
      <w:r>
        <w:t xml:space="preserve">4.3 改进方案三：补丁并发风险检查</w:t>
      </w:r>
    </w:p>
    <w:p>
      <w:r>
        <w:t xml:space="preserve">仅依赖测试结果无法解释补丁是否符合并发修复模式。因此，本研究在 evaluator 中增加 `patch_risk` 静态检查，对模型补丁进行轻量规则分析。检查内容包括是否修改源文件、是否使用 Lock/RLock、是否保护 increment/reset 共享状态更新、是否只修改测试、是否新增可疑 sleep 等。</w:t>
      </w:r>
    </w:p>
    <w:tbl>
      <w:tblPr>
        <w:tblStyle w:val="TableGrid"/>
        <w:tblW w:w="0" w:type="auto"/>
        <w:tblBorders>
          <w:top w:val="single" w:sz="4"/>
          <w:left w:val="single" w:sz="4"/>
          <w:bottom w:val="single" w:sz="4"/>
          <w:right w:val="single" w:sz="4"/>
          <w:insideH w:val="single" w:sz="4"/>
          <w:insideV w:val="single" w:sz="4"/>
        </w:tblBorders>
      </w:tblPr>
      <w:tr>
        <w:tc>
          <w:tcPr>
            <w:tcW w:w="2400" w:type="dxa"/>
            <w:shd w:fill="EDEDED"/>
          </w:tcPr>
          <w:p>
            <w:r>
              <w:t xml:space="preserve">检查项</w:t>
            </w:r>
          </w:p>
        </w:tc>
        <w:tc>
          <w:tcPr>
            <w:tcW w:w="2400" w:type="dxa"/>
            <w:shd w:fill="EDEDED"/>
          </w:tcPr>
          <w:p>
            <w:r>
              <w:t xml:space="preserve">目标状态</w:t>
            </w:r>
          </w:p>
        </w:tc>
        <w:tc>
          <w:tcPr>
            <w:tcW w:w="2400" w:type="dxa"/>
            <w:shd w:fill="EDEDED"/>
          </w:tcPr>
          <w:p>
            <w:r>
              <w:t xml:space="preserve">说明</w:t>
            </w:r>
          </w:p>
        </w:tc>
      </w:tr>
      <w:tr>
        <w:tc>
          <w:tcPr>
            <w:tcW w:w="2400" w:type="dxa"/>
          </w:tcPr>
          <w:p>
            <w:r>
              <w:t xml:space="preserve">uses_lock</w:t>
            </w:r>
          </w:p>
        </w:tc>
        <w:tc>
          <w:tcPr>
            <w:tcW w:w="2400" w:type="dxa"/>
          </w:tcPr>
          <w:p>
            <w:r>
              <w:t xml:space="preserve">true</w:t>
            </w:r>
          </w:p>
        </w:tc>
        <w:tc>
          <w:tcPr>
            <w:tcW w:w="2400" w:type="dxa"/>
          </w:tcPr>
          <w:p>
            <w:r>
              <w:t xml:space="preserve">应使用锁或等价同步机制</w:t>
            </w:r>
          </w:p>
        </w:tc>
      </w:tr>
      <w:tr>
        <w:tc>
          <w:tcPr>
            <w:tcW w:w="2400" w:type="dxa"/>
          </w:tcPr>
          <w:p>
            <w:r>
              <w:t xml:space="preserve">guards_increment</w:t>
            </w:r>
          </w:p>
        </w:tc>
        <w:tc>
          <w:tcPr>
            <w:tcW w:w="2400" w:type="dxa"/>
          </w:tcPr>
          <w:p>
            <w:r>
              <w:t xml:space="preserve">true</w:t>
            </w:r>
          </w:p>
        </w:tc>
        <w:tc>
          <w:tcPr>
            <w:tcW w:w="2400" w:type="dxa"/>
          </w:tcPr>
          <w:p>
            <w:r>
              <w:t xml:space="preserve">核心读-改-写应在临界区内</w:t>
            </w:r>
          </w:p>
        </w:tc>
      </w:tr>
      <w:tr>
        <w:tc>
          <w:tcPr>
            <w:tcW w:w="2400" w:type="dxa"/>
          </w:tcPr>
          <w:p>
            <w:r>
              <w:t xml:space="preserve">guards_reset</w:t>
            </w:r>
          </w:p>
        </w:tc>
        <w:tc>
          <w:tcPr>
            <w:tcW w:w="2400" w:type="dxa"/>
          </w:tcPr>
          <w:p>
            <w:r>
              <w:t xml:space="preserve">true</w:t>
            </w:r>
          </w:p>
        </w:tc>
        <w:tc>
          <w:tcPr>
            <w:tcW w:w="2400" w:type="dxa"/>
          </w:tcPr>
          <w:p>
            <w:r>
              <w:t xml:space="preserve">其他共享状态修改也应保护</w:t>
            </w:r>
          </w:p>
        </w:tc>
      </w:tr>
      <w:tr>
        <w:tc>
          <w:tcPr>
            <w:tcW w:w="2400" w:type="dxa"/>
          </w:tcPr>
          <w:p>
            <w:r>
              <w:t xml:space="preserve">patches_tests_only</w:t>
            </w:r>
          </w:p>
        </w:tc>
        <w:tc>
          <w:tcPr>
            <w:tcW w:w="2400" w:type="dxa"/>
          </w:tcPr>
          <w:p>
            <w:r>
              <w:t xml:space="preserve">false</w:t>
            </w:r>
          </w:p>
        </w:tc>
        <w:tc>
          <w:tcPr>
            <w:tcW w:w="2400" w:type="dxa"/>
          </w:tcPr>
          <w:p>
            <w:r>
              <w:t xml:space="preserve">不能只修改测试逃避问题</w:t>
            </w:r>
          </w:p>
        </w:tc>
      </w:tr>
      <w:tr>
        <w:tc>
          <w:tcPr>
            <w:tcW w:w="2400" w:type="dxa"/>
          </w:tcPr>
          <w:p>
            <w:r>
              <w:t xml:space="preserve">risk_level</w:t>
            </w:r>
          </w:p>
        </w:tc>
        <w:tc>
          <w:tcPr>
            <w:tcW w:w="2400" w:type="dxa"/>
          </w:tcPr>
          <w:p>
            <w:r>
              <w:t xml:space="preserve">low</w:t>
            </w:r>
          </w:p>
        </w:tc>
        <w:tc>
          <w:tcPr>
            <w:tcW w:w="2400" w:type="dxa"/>
          </w:tcPr>
          <w:p>
            <w:r>
              <w:t xml:space="preserve">风险越低说明补丁模式越合理</w:t>
            </w:r>
          </w:p>
        </w:tc>
      </w:tr>
    </w:tbl>
    <w:p>
      <w:r>
        <w:t xml:space="preserve"/>
      </w:r>
    </w:p>
    <w:p>
      <w:pPr>
        <w:pStyle w:val="Heading2"/>
      </w:pPr>
      <w:r>
        <w:t xml:space="preserve">4.4 当前对比结果</w:t>
      </w:r>
    </w:p>
    <w:tbl>
      <w:tblPr>
        <w:tblStyle w:val="TableGrid"/>
        <w:tblW w:w="0" w:type="auto"/>
        <w:tblBorders>
          <w:top w:val="single" w:sz="4"/>
          <w:left w:val="single" w:sz="4"/>
          <w:bottom w:val="single" w:sz="4"/>
          <w:right w:val="single" w:sz="4"/>
          <w:insideH w:val="single" w:sz="4"/>
          <w:insideV w:val="single" w:sz="4"/>
        </w:tblBorders>
      </w:tblPr>
      <w:tr>
        <w:tc>
          <w:tcPr>
            <w:tcW w:w="2400" w:type="dxa"/>
            <w:shd w:fill="EDEDED"/>
          </w:tcPr>
          <w:p>
            <w:r>
              <w:t xml:space="preserve">patch</w:t>
            </w:r>
          </w:p>
        </w:tc>
        <w:tc>
          <w:tcPr>
            <w:tcW w:w="2400" w:type="dxa"/>
            <w:shd w:fill="EDEDED"/>
          </w:tcPr>
          <w:p>
            <w:r>
              <w:t xml:space="preserve">repeat</w:t>
            </w:r>
          </w:p>
        </w:tc>
        <w:tc>
          <w:tcPr>
            <w:tcW w:w="2400" w:type="dxa"/>
            <w:shd w:fill="EDEDED"/>
          </w:tcPr>
          <w:p>
            <w:r>
              <w:t xml:space="preserve">passed_runs</w:t>
            </w:r>
          </w:p>
        </w:tc>
        <w:tc>
          <w:tcPr>
            <w:tcW w:w="2400" w:type="dxa"/>
            <w:shd w:fill="EDEDED"/>
          </w:tcPr>
          <w:p>
            <w:r>
              <w:t xml:space="preserve">failed_runs</w:t>
            </w:r>
          </w:p>
        </w:tc>
        <w:tc>
          <w:tcPr>
            <w:tcW w:w="2400" w:type="dxa"/>
            <w:shd w:fill="EDEDED"/>
          </w:tcPr>
          <w:p>
            <w:r>
              <w:t xml:space="preserve">pass_rate</w:t>
            </w:r>
          </w:p>
        </w:tc>
        <w:tc>
          <w:tcPr>
            <w:tcW w:w="2400" w:type="dxa"/>
            <w:shd w:fill="EDEDED"/>
          </w:tcPr>
          <w:p>
            <w:r>
              <w:t xml:space="preserve">stable_resolved</w:t>
            </w:r>
          </w:p>
        </w:tc>
        <w:tc>
          <w:tcPr>
            <w:tcW w:w="2400" w:type="dxa"/>
            <w:shd w:fill="EDEDED"/>
          </w:tcPr>
          <w:p>
            <w:r>
              <w:t xml:space="preserve">risk_level</w:t>
            </w:r>
          </w:p>
        </w:tc>
      </w:tr>
      <w:tr>
        <w:tc>
          <w:tcPr>
            <w:tcW w:w="2400" w:type="dxa"/>
          </w:tcPr>
          <w:p>
            <w:r>
              <w:t xml:space="preserve">no-op</w:t>
            </w:r>
          </w:p>
        </w:tc>
        <w:tc>
          <w:tcPr>
            <w:tcW w:w="2400" w:type="dxa"/>
          </w:tcPr>
          <w:p>
            <w:r>
              <w:t xml:space="preserve">10</w:t>
            </w:r>
          </w:p>
        </w:tc>
        <w:tc>
          <w:tcPr>
            <w:tcW w:w="2400" w:type="dxa"/>
          </w:tcPr>
          <w:p>
            <w:r>
              <w:t xml:space="preserve">0</w:t>
            </w:r>
          </w:p>
        </w:tc>
        <w:tc>
          <w:tcPr>
            <w:tcW w:w="2400" w:type="dxa"/>
          </w:tcPr>
          <w:p>
            <w:r>
              <w:t xml:space="preserve">10</w:t>
            </w:r>
          </w:p>
        </w:tc>
        <w:tc>
          <w:tcPr>
            <w:tcW w:w="2400" w:type="dxa"/>
          </w:tcPr>
          <w:p>
            <w:r>
              <w:t xml:space="preserve">0.0</w:t>
            </w:r>
          </w:p>
        </w:tc>
        <w:tc>
          <w:tcPr>
            <w:tcW w:w="2400" w:type="dxa"/>
          </w:tcPr>
          <w:p>
            <w:r>
              <w:t xml:space="preserve">false</w:t>
            </w:r>
          </w:p>
        </w:tc>
        <w:tc>
          <w:tcPr>
            <w:tcW w:w="2400" w:type="dxa"/>
          </w:tcPr>
          <w:p>
            <w:r>
              <w:t xml:space="preserve">high</w:t>
            </w:r>
          </w:p>
        </w:tc>
      </w:tr>
      <w:tr>
        <w:tc>
          <w:tcPr>
            <w:tcW w:w="2400" w:type="dxa"/>
          </w:tcPr>
          <w:p>
            <w:r>
              <w:t xml:space="preserve">gold</w:t>
            </w:r>
          </w:p>
        </w:tc>
        <w:tc>
          <w:tcPr>
            <w:tcW w:w="2400" w:type="dxa"/>
          </w:tcPr>
          <w:p>
            <w:r>
              <w:t xml:space="preserve">10</w:t>
            </w:r>
          </w:p>
        </w:tc>
        <w:tc>
          <w:tcPr>
            <w:tcW w:w="2400" w:type="dxa"/>
          </w:tcPr>
          <w:p>
            <w:r>
              <w:t xml:space="preserve">10</w:t>
            </w:r>
          </w:p>
        </w:tc>
        <w:tc>
          <w:tcPr>
            <w:tcW w:w="2400" w:type="dxa"/>
          </w:tcPr>
          <w:p>
            <w:r>
              <w:t xml:space="preserve">0</w:t>
            </w:r>
          </w:p>
        </w:tc>
        <w:tc>
          <w:tcPr>
            <w:tcW w:w="2400" w:type="dxa"/>
          </w:tcPr>
          <w:p>
            <w:r>
              <w:t xml:space="preserve">1.0</w:t>
            </w:r>
          </w:p>
        </w:tc>
        <w:tc>
          <w:tcPr>
            <w:tcW w:w="2400" w:type="dxa"/>
          </w:tcPr>
          <w:p>
            <w:r>
              <w:t xml:space="preserve">true</w:t>
            </w:r>
          </w:p>
        </w:tc>
        <w:tc>
          <w:tcPr>
            <w:tcW w:w="2400" w:type="dxa"/>
          </w:tcPr>
          <w:p>
            <w:r>
              <w:t xml:space="preserve">low</w:t>
            </w:r>
          </w:p>
        </w:tc>
      </w:tr>
    </w:tbl>
    <w:p>
      <w:r>
        <w:t xml:space="preserve"/>
      </w:r>
    </w:p>
    <w:p>
      <w:r>
        <w:t xml:space="preserve">上述结果表明，no-op 补丁在 10 轮并发测试中全部失败，且风险等级为 high；gold patch 在 10 轮测试中全部通过，风险等级为 low。这说明新增指标能够有效区分未修复补丁和合理并发修复补丁。</w:t>
      </w:r>
    </w:p>
    <w:tbl>
      <w:tblPr>
        <w:tblW w:w="0" w:type="auto"/>
        <w:tblBorders>
          <w:top w:val="single" w:sz="8"/>
          <w:left w:val="single" w:sz="8"/>
          <w:bottom w:val="single" w:sz="8"/>
          <w:right w:val="single" w:sz="8"/>
        </w:tblBorders>
      </w:tblPr>
      <w:tr>
        <w:tc>
          <w:tcPr>
            <w:tcW w:w="9000" w:type="dxa"/>
            <w:shd w:fill="F5F5F5"/>
          </w:tcPr>
          <w:p>
            <w:pPr>
              <w:jc w:val="center"/>
            </w:pPr>
            <w:r>
              <w:rPr>
                <w:b/>
              </w:rPr>
              <w:t xml:space="preserve">[图片占位符]</w:t>
            </w:r>
          </w:p>
          <w:p>
            <w:pPr>
              <w:jc w:val="center"/>
            </w:pPr>
            <w:r>
              <w:t xml:space="preserve">图5 no-op 与 gold patch 评测结果截图占位符</w:t>
            </w:r>
          </w:p>
          <w:p>
            <w:pPr>
              <w:jc w:val="center"/>
            </w:pPr>
            <w:r>
              <w:t xml:space="preserve">建议补充内容：展示 JSON 报告中的 pass_rate、stable_resolved 和 risk_level。</w:t>
            </w:r>
          </w:p>
          <w:p>
            <w:pPr>
              <w:jc w:val="center"/>
            </w:pPr>
            <w:r>
              <w:t xml:space="preserve">请在此处替换为流程图、截图或实验结果图。</w:t>
            </w:r>
          </w:p>
        </w:tc>
      </w:tr>
    </w:tbl>
    <w:p>
      <w:r>
        <w:t xml:space="preserve"/>
      </w:r>
    </w:p>
    <w:p>
      <w:pPr>
        <w:pStyle w:val="Heading1"/>
      </w:pPr>
      <w:r>
        <w:t xml:space="preserve">5. 风险评估与应对措施</w:t>
      </w:r>
    </w:p>
    <w:tbl>
      <w:tblPr>
        <w:tblStyle w:val="TableGrid"/>
        <w:tblW w:w="0" w:type="auto"/>
        <w:tblBorders>
          <w:top w:val="single" w:sz="4"/>
          <w:left w:val="single" w:sz="4"/>
          <w:bottom w:val="single" w:sz="4"/>
          <w:right w:val="single" w:sz="4"/>
          <w:insideH w:val="single" w:sz="4"/>
          <w:insideV w:val="single" w:sz="4"/>
        </w:tblBorders>
      </w:tblPr>
      <w:tr>
        <w:tc>
          <w:tcPr>
            <w:tcW w:w="2400" w:type="dxa"/>
            <w:shd w:fill="EDEDED"/>
          </w:tcPr>
          <w:p>
            <w:r>
              <w:t xml:space="preserve">风险</w:t>
            </w:r>
          </w:p>
        </w:tc>
        <w:tc>
          <w:tcPr>
            <w:tcW w:w="2400" w:type="dxa"/>
            <w:shd w:fill="EDEDED"/>
          </w:tcPr>
          <w:p>
            <w:r>
              <w:t xml:space="preserve">影响</w:t>
            </w:r>
          </w:p>
        </w:tc>
        <w:tc>
          <w:tcPr>
            <w:tcW w:w="2400" w:type="dxa"/>
            <w:shd w:fill="EDEDED"/>
          </w:tcPr>
          <w:p>
            <w:r>
              <w:t xml:space="preserve">应对措施</w:t>
            </w:r>
          </w:p>
        </w:tc>
      </w:tr>
      <w:tr>
        <w:tc>
          <w:tcPr>
            <w:tcW w:w="2400" w:type="dxa"/>
          </w:tcPr>
          <w:p>
            <w:r>
              <w:t xml:space="preserve">LLM 生成补丁不稳定</w:t>
            </w:r>
          </w:p>
        </w:tc>
        <w:tc>
          <w:tcPr>
            <w:tcW w:w="2400" w:type="dxa"/>
          </w:tcPr>
          <w:p>
            <w:r>
              <w:t xml:space="preserve">可能无法一次修复并发 bug</w:t>
            </w:r>
          </w:p>
        </w:tc>
        <w:tc>
          <w:tcPr>
            <w:tcW w:w="2400" w:type="dxa"/>
          </w:tcPr>
          <w:p>
            <w:r>
              <w:t xml:space="preserve">保留 gold patch 验证评测器；后续可增加多样本 repair</w:t>
            </w:r>
          </w:p>
        </w:tc>
      </w:tr>
      <w:tr>
        <w:tc>
          <w:tcPr>
            <w:tcW w:w="2400" w:type="dxa"/>
          </w:tcPr>
          <w:p>
            <w:r>
              <w:t xml:space="preserve">并发测试存在偶然性</w:t>
            </w:r>
          </w:p>
        </w:tc>
        <w:tc>
          <w:tcPr>
            <w:tcW w:w="2400" w:type="dxa"/>
          </w:tcPr>
          <w:p>
            <w:r>
              <w:t xml:space="preserve">单次结果不可靠</w:t>
            </w:r>
          </w:p>
        </w:tc>
        <w:tc>
          <w:tcPr>
            <w:tcW w:w="2400" w:type="dxa"/>
          </w:tcPr>
          <w:p>
            <w:r>
              <w:t xml:space="preserve">使用 repeat 多轮测试和 pass_rate 指标</w:t>
            </w:r>
          </w:p>
        </w:tc>
      </w:tr>
      <w:tr>
        <w:tc>
          <w:tcPr>
            <w:tcW w:w="2400" w:type="dxa"/>
          </w:tcPr>
          <w:p>
            <w:r>
              <w:t xml:space="preserve">静态风险规则过于简单</w:t>
            </w:r>
          </w:p>
        </w:tc>
        <w:tc>
          <w:tcPr>
            <w:tcW w:w="2400" w:type="dxa"/>
          </w:tcPr>
          <w:p>
            <w:r>
              <w:t xml:space="preserve">可能误判复杂同步方式</w:t>
            </w:r>
          </w:p>
        </w:tc>
        <w:tc>
          <w:tcPr>
            <w:tcW w:w="2400" w:type="dxa"/>
          </w:tcPr>
          <w:p>
            <w:r>
              <w:t xml:space="preserve">将其定位为轻量解释指标，不替代测试结果</w:t>
            </w:r>
          </w:p>
        </w:tc>
      </w:tr>
      <w:tr>
        <w:tc>
          <w:tcPr>
            <w:tcW w:w="2400" w:type="dxa"/>
          </w:tcPr>
          <w:p>
            <w:r>
              <w:t xml:space="preserve">Docker 或代理网络失败</w:t>
            </w:r>
          </w:p>
        </w:tc>
        <w:tc>
          <w:tcPr>
            <w:tcW w:w="2400" w:type="dxa"/>
          </w:tcPr>
          <w:p>
            <w:r>
              <w:t xml:space="preserve">影响 SWE-bench 官方评测</w:t>
            </w:r>
          </w:p>
        </w:tc>
        <w:tc>
          <w:tcPr>
            <w:tcW w:w="2400" w:type="dxa"/>
          </w:tcPr>
          <w:p>
            <w:r>
              <w:t xml:space="preserve">通过 WSL 主机代理和本地 evaluator 分离基础复现与自定义评测</w:t>
            </w:r>
          </w:p>
        </w:tc>
      </w:tr>
      <w:tr>
        <w:tc>
          <w:tcPr>
            <w:tcW w:w="2400" w:type="dxa"/>
          </w:tcPr>
          <w:p>
            <w:r>
              <w:t xml:space="preserve">API 余额不足</w:t>
            </w:r>
          </w:p>
        </w:tc>
        <w:tc>
          <w:tcPr>
            <w:tcW w:w="2400" w:type="dxa"/>
          </w:tcPr>
          <w:p>
            <w:r>
              <w:t xml:space="preserve">无法重复调用 LLM</w:t>
            </w:r>
          </w:p>
        </w:tc>
        <w:tc>
          <w:tcPr>
            <w:tcW w:w="2400" w:type="dxa"/>
          </w:tcPr>
          <w:p>
            <w:r>
              <w:t xml:space="preserve">默认脚本只验证 gold patch，RUN_LLM=1 时才调用模型</w:t>
            </w:r>
          </w:p>
        </w:tc>
      </w:tr>
    </w:tbl>
    <w:p>
      <w:r>
        <w:t xml:space="preserve"/>
      </w:r>
    </w:p>
    <w:p>
      <w:pPr>
        <w:pStyle w:val="Heading1"/>
      </w:pPr>
      <w:r>
        <w:t xml:space="preserve">6. 进度安排与预期成效</w:t>
      </w:r>
    </w:p>
    <w:p>
      <w:pPr>
        <w:pStyle w:val="Heading2"/>
      </w:pPr>
      <w:r>
        <w:t xml:space="preserve">6.1 进度安排</w:t>
      </w:r>
    </w:p>
    <w:tbl>
      <w:tblPr>
        <w:tblStyle w:val="TableGrid"/>
        <w:tblW w:w="0" w:type="auto"/>
        <w:tblBorders>
          <w:top w:val="single" w:sz="4"/>
          <w:left w:val="single" w:sz="4"/>
          <w:bottom w:val="single" w:sz="4"/>
          <w:right w:val="single" w:sz="4"/>
          <w:insideH w:val="single" w:sz="4"/>
          <w:insideV w:val="single" w:sz="4"/>
        </w:tblBorders>
      </w:tblPr>
      <w:tr>
        <w:tc>
          <w:tcPr>
            <w:tcW w:w="2400" w:type="dxa"/>
            <w:shd w:fill="EDEDED"/>
          </w:tcPr>
          <w:p>
            <w:r>
              <w:t xml:space="preserve">阶段</w:t>
            </w:r>
          </w:p>
        </w:tc>
        <w:tc>
          <w:tcPr>
            <w:tcW w:w="2400" w:type="dxa"/>
            <w:shd w:fill="EDEDED"/>
          </w:tcPr>
          <w:p>
            <w:r>
              <w:t xml:space="preserve">时间安排</w:t>
            </w:r>
          </w:p>
        </w:tc>
        <w:tc>
          <w:tcPr>
            <w:tcW w:w="2400" w:type="dxa"/>
            <w:shd w:fill="EDEDED"/>
          </w:tcPr>
          <w:p>
            <w:r>
              <w:t xml:space="preserve">主要任务</w:t>
            </w:r>
          </w:p>
        </w:tc>
        <w:tc>
          <w:tcPr>
            <w:tcW w:w="2400" w:type="dxa"/>
            <w:shd w:fill="EDEDED"/>
          </w:tcPr>
          <w:p>
            <w:r>
              <w:t xml:space="preserve">产出</w:t>
            </w:r>
          </w:p>
        </w:tc>
      </w:tr>
      <w:tr>
        <w:tc>
          <w:tcPr>
            <w:tcW w:w="2400" w:type="dxa"/>
          </w:tcPr>
          <w:p>
            <w:r>
              <w:t xml:space="preserve">第一阶段</w:t>
            </w:r>
          </w:p>
        </w:tc>
        <w:tc>
          <w:tcPr>
            <w:tcW w:w="2400" w:type="dxa"/>
          </w:tcPr>
          <w:p>
            <w:r>
              <w:t xml:space="preserve">第 1 周</w:t>
            </w:r>
          </w:p>
        </w:tc>
        <w:tc>
          <w:tcPr>
            <w:tcW w:w="2400" w:type="dxa"/>
          </w:tcPr>
          <w:p>
            <w:r>
              <w:t xml:space="preserve">阅读 AGENTLESS 论文和代码，搭建 WSL、Docker、Python 环境</w:t>
            </w:r>
          </w:p>
        </w:tc>
        <w:tc>
          <w:tcPr>
            <w:tcW w:w="2400" w:type="dxa"/>
          </w:tcPr>
          <w:p>
            <w:r>
              <w:t xml:space="preserve">复现计划与环境记录</w:t>
            </w:r>
          </w:p>
        </w:tc>
      </w:tr>
      <w:tr>
        <w:tc>
          <w:tcPr>
            <w:tcW w:w="2400" w:type="dxa"/>
          </w:tcPr>
          <w:p>
            <w:r>
              <w:t xml:space="preserve">第二阶段</w:t>
            </w:r>
          </w:p>
        </w:tc>
        <w:tc>
          <w:tcPr>
            <w:tcW w:w="2400" w:type="dxa"/>
          </w:tcPr>
          <w:p>
            <w:r>
              <w:t xml:space="preserve">第 2 周</w:t>
            </w:r>
          </w:p>
        </w:tc>
        <w:tc>
          <w:tcPr>
            <w:tcW w:w="2400" w:type="dxa"/>
          </w:tcPr>
          <w:p>
            <w:r>
              <w:t xml:space="preserve">接入 DeepSeek，完成 5 个 SWE-bench Lite 案例复现</w:t>
            </w:r>
          </w:p>
        </w:tc>
        <w:tc>
          <w:tcPr>
            <w:tcW w:w="2400" w:type="dxa"/>
          </w:tcPr>
          <w:p>
            <w:r>
              <w:t xml:space="preserve">基础评测报告</w:t>
            </w:r>
          </w:p>
        </w:tc>
      </w:tr>
      <w:tr>
        <w:tc>
          <w:tcPr>
            <w:tcW w:w="2400" w:type="dxa"/>
          </w:tcPr>
          <w:p>
            <w:r>
              <w:t xml:space="preserve">第三阶段</w:t>
            </w:r>
          </w:p>
        </w:tc>
        <w:tc>
          <w:tcPr>
            <w:tcW w:w="2400" w:type="dxa"/>
          </w:tcPr>
          <w:p>
            <w:r>
              <w:t xml:space="preserve">第 3 周</w:t>
            </w:r>
          </w:p>
        </w:tc>
        <w:tc>
          <w:tcPr>
            <w:tcW w:w="2400" w:type="dxa"/>
          </w:tcPr>
          <w:p>
            <w:r>
              <w:t xml:space="preserve">构造自定义并发缺陷 case 和本地 evaluator</w:t>
            </w:r>
          </w:p>
        </w:tc>
        <w:tc>
          <w:tcPr>
            <w:tcW w:w="2400" w:type="dxa"/>
          </w:tcPr>
          <w:p>
            <w:r>
              <w:t xml:space="preserve">并发 case 数据与评测脚本</w:t>
            </w:r>
          </w:p>
        </w:tc>
      </w:tr>
      <w:tr>
        <w:tc>
          <w:tcPr>
            <w:tcW w:w="2400" w:type="dxa"/>
          </w:tcPr>
          <w:p>
            <w:r>
              <w:t xml:space="preserve">第四阶段</w:t>
            </w:r>
          </w:p>
        </w:tc>
        <w:tc>
          <w:tcPr>
            <w:tcW w:w="2400" w:type="dxa"/>
          </w:tcPr>
          <w:p>
            <w:r>
              <w:t xml:space="preserve">第 4 周</w:t>
            </w:r>
          </w:p>
        </w:tc>
        <w:tc>
          <w:tcPr>
            <w:tcW w:w="2400" w:type="dxa"/>
          </w:tcPr>
          <w:p>
            <w:r>
              <w:t xml:space="preserve">实现三项轻量增强并验证 no-op/gold 对比结果</w:t>
            </w:r>
          </w:p>
        </w:tc>
        <w:tc>
          <w:tcPr>
            <w:tcW w:w="2400" w:type="dxa"/>
          </w:tcPr>
          <w:p>
            <w:r>
              <w:t xml:space="preserve">创新点对比报告</w:t>
            </w:r>
          </w:p>
        </w:tc>
      </w:tr>
      <w:tr>
        <w:tc>
          <w:tcPr>
            <w:tcW w:w="2400" w:type="dxa"/>
          </w:tcPr>
          <w:p>
            <w:r>
              <w:t xml:space="preserve">第五阶段</w:t>
            </w:r>
          </w:p>
        </w:tc>
        <w:tc>
          <w:tcPr>
            <w:tcW w:w="2400" w:type="dxa"/>
          </w:tcPr>
          <w:p>
            <w:r>
              <w:t xml:space="preserve">第 5 周</w:t>
            </w:r>
          </w:p>
        </w:tc>
        <w:tc>
          <w:tcPr>
            <w:tcW w:w="2400" w:type="dxa"/>
          </w:tcPr>
          <w:p>
            <w:r>
              <w:t xml:space="preserve">整理最终文档、开题报告和课程提交材料</w:t>
            </w:r>
          </w:p>
        </w:tc>
        <w:tc>
          <w:tcPr>
            <w:tcW w:w="2400" w:type="dxa"/>
          </w:tcPr>
          <w:p>
            <w:r>
              <w:t xml:space="preserve">报告、代码仓库、结果文件</w:t>
            </w:r>
          </w:p>
        </w:tc>
      </w:tr>
    </w:tbl>
    <w:p>
      <w:r>
        <w:t xml:space="preserve"/>
      </w:r>
    </w:p>
    <w:p>
      <w:pPr>
        <w:pStyle w:val="Heading2"/>
      </w:pPr>
      <w:r>
        <w:t xml:space="preserve">6.2 预期成效</w:t>
      </w:r>
    </w:p>
    <w:tbl>
      <w:tblPr>
        <w:tblStyle w:val="TableGrid"/>
        <w:tblW w:w="0" w:type="auto"/>
        <w:tblBorders>
          <w:top w:val="single" w:sz="4"/>
          <w:left w:val="single" w:sz="4"/>
          <w:bottom w:val="single" w:sz="4"/>
          <w:right w:val="single" w:sz="4"/>
          <w:insideH w:val="single" w:sz="4"/>
          <w:insideV w:val="single" w:sz="4"/>
        </w:tblBorders>
      </w:tblPr>
      <w:tr>
        <w:tc>
          <w:tcPr>
            <w:tcW w:w="2400" w:type="dxa"/>
            <w:shd w:fill="EDEDED"/>
          </w:tcPr>
          <w:p>
            <w:r>
              <w:t xml:space="preserve">成果类型</w:t>
            </w:r>
          </w:p>
        </w:tc>
        <w:tc>
          <w:tcPr>
            <w:tcW w:w="2400" w:type="dxa"/>
            <w:shd w:fill="EDEDED"/>
          </w:tcPr>
          <w:p>
            <w:r>
              <w:t xml:space="preserve">预期内容</w:t>
            </w:r>
          </w:p>
        </w:tc>
        <w:tc>
          <w:tcPr>
            <w:tcW w:w="2400" w:type="dxa"/>
            <w:shd w:fill="EDEDED"/>
          </w:tcPr>
          <w:p>
            <w:r>
              <w:t xml:space="preserve">量化指标</w:t>
            </w:r>
          </w:p>
        </w:tc>
      </w:tr>
      <w:tr>
        <w:tc>
          <w:tcPr>
            <w:tcW w:w="2400" w:type="dxa"/>
          </w:tcPr>
          <w:p>
            <w:r>
              <w:t xml:space="preserve">基础复现</w:t>
            </w:r>
          </w:p>
        </w:tc>
        <w:tc>
          <w:tcPr>
            <w:tcW w:w="2400" w:type="dxa"/>
          </w:tcPr>
          <w:p>
            <w:r>
              <w:t xml:space="preserve">完成 AGENTLESS + DeepSeek 修复流程</w:t>
            </w:r>
          </w:p>
        </w:tc>
        <w:tc>
          <w:tcPr>
            <w:tcW w:w="2400" w:type="dxa"/>
          </w:tcPr>
          <w:p>
            <w:r>
              <w:t xml:space="preserve">5 个基础案例完成评测，3 resolved</w:t>
            </w:r>
          </w:p>
        </w:tc>
      </w:tr>
      <w:tr>
        <w:tc>
          <w:tcPr>
            <w:tcW w:w="2400" w:type="dxa"/>
          </w:tcPr>
          <w:p>
            <w:r>
              <w:t xml:space="preserve">并发案例</w:t>
            </w:r>
          </w:p>
        </w:tc>
        <w:tc>
          <w:tcPr>
            <w:tcW w:w="2400" w:type="dxa"/>
          </w:tcPr>
          <w:p>
            <w:r>
              <w:t xml:space="preserve">构造线程竞态修复任务</w:t>
            </w:r>
          </w:p>
        </w:tc>
        <w:tc>
          <w:tcPr>
            <w:tcW w:w="2400" w:type="dxa"/>
          </w:tcPr>
          <w:p>
            <w:r>
              <w:t xml:space="preserve">no-op 10 轮全失败，gold 10 轮全通过</w:t>
            </w:r>
          </w:p>
        </w:tc>
      </w:tr>
      <w:tr>
        <w:tc>
          <w:tcPr>
            <w:tcW w:w="2400" w:type="dxa"/>
          </w:tcPr>
          <w:p>
            <w:r>
              <w:t xml:space="preserve">稳定性评测</w:t>
            </w:r>
          </w:p>
        </w:tc>
        <w:tc>
          <w:tcPr>
            <w:tcW w:w="2400" w:type="dxa"/>
          </w:tcPr>
          <w:p>
            <w:r>
              <w:t xml:space="preserve">多轮 pytest 评价补丁可靠性</w:t>
            </w:r>
          </w:p>
        </w:tc>
        <w:tc>
          <w:tcPr>
            <w:tcW w:w="2400" w:type="dxa"/>
          </w:tcPr>
          <w:p>
            <w:r>
              <w:t xml:space="preserve">输出 pass_rate 和 stable_resolved</w:t>
            </w:r>
          </w:p>
        </w:tc>
      </w:tr>
      <w:tr>
        <w:tc>
          <w:tcPr>
            <w:tcW w:w="2400" w:type="dxa"/>
          </w:tcPr>
          <w:p>
            <w:r>
              <w:t xml:space="preserve">风险检查</w:t>
            </w:r>
          </w:p>
        </w:tc>
        <w:tc>
          <w:tcPr>
            <w:tcW w:w="2400" w:type="dxa"/>
          </w:tcPr>
          <w:p>
            <w:r>
              <w:t xml:space="preserve">解释补丁并发修复模式</w:t>
            </w:r>
          </w:p>
        </w:tc>
        <w:tc>
          <w:tcPr>
            <w:tcW w:w="2400" w:type="dxa"/>
          </w:tcPr>
          <w:p>
            <w:r>
              <w:t xml:space="preserve">输出 risk_level 和 risk_reasons</w:t>
            </w:r>
          </w:p>
        </w:tc>
      </w:tr>
      <w:tr>
        <w:tc>
          <w:tcPr>
            <w:tcW w:w="2400" w:type="dxa"/>
          </w:tcPr>
          <w:p>
            <w:r>
              <w:t xml:space="preserve">文档成果</w:t>
            </w:r>
          </w:p>
        </w:tc>
        <w:tc>
          <w:tcPr>
            <w:tcW w:w="2400" w:type="dxa"/>
          </w:tcPr>
          <w:p>
            <w:r>
              <w:t xml:space="preserve">形成复现、创新点、评价指标说明</w:t>
            </w:r>
          </w:p>
        </w:tc>
        <w:tc>
          <w:tcPr>
            <w:tcW w:w="2400" w:type="dxa"/>
          </w:tcPr>
          <w:p>
            <w:r>
              <w:t xml:space="preserve">Markdown 与 Word 文档可提交</w:t>
            </w:r>
          </w:p>
        </w:tc>
      </w:tr>
    </w:tbl>
    <w:p>
      <w:r>
        <w:t xml:space="preserve"/>
      </w:r>
    </w:p>
    <w:p>
      <w:pPr>
        <w:pStyle w:val="Heading1"/>
      </w:pPr>
      <w:r>
        <w:t xml:space="preserve">7. 结论</w:t>
      </w:r>
    </w:p>
    <w:p>
      <w:r>
        <w:t xml:space="preserve">本研究拟在 AGENTLESS 基础复现的基础上，面向课程要求中的并发代码修复任务进行轻量增强。项目已经完成 SWE-bench Lite 5 个基础案例复现，并构造了自定义线程竞态缺陷案例。针对并发缺陷测试非确定性和补丁解释不足的问题，本研究提出并实现并发稳定性评测、并发语义增强 Prompt 和补丁风险检查三个改进点。预期最终形成一套从 issue 描述到 LLM 补丁生成、从多轮测试到风险解释的完整实验流程，能够支撑课程作业对自动程序修复与并发缺陷修复的要求。</w:t>
      </w:r>
    </w:p>
    <w:p>
      <w:pPr>
        <w:pStyle w:val="Heading1"/>
      </w:pPr>
      <w:r>
        <w:t xml:space="preserve">参考文献</w:t>
      </w:r>
    </w:p>
    <w:p>
      <w:r>
        <w:t xml:space="preserve">[1] Xia C S, Deng Y, Dunn S, Zhang L. Agentless: Demystifying LLM-based Software Engineering Agents. arXiv preprint, 2024.</w:t>
      </w:r>
    </w:p>
    <w:p>
      <w:r>
        <w:t xml:space="preserve">[2] Jimenez C E, Yang J, Wettig A, et al. SWE-bench: Can Language Models Resolve Real-World GitHub Issues? ICLR, 2024.</w:t>
      </w:r>
    </w:p>
    <w:p>
      <w:r>
        <w:t xml:space="preserve">[3] Le Goues C, Nguyen T, Forrest S, Weimer W. GenProg: A Generic Method for Automatic Software Repair. IEEE Transactions on Software Engineering, 2012.</w:t>
      </w:r>
    </w:p>
    <w:p>
      <w:r>
        <w:t xml:space="preserve">[4] Monperrus M. Automatic Software Repair: A Bibliography. ACM Computing Surveys, 2018.</w:t>
      </w:r>
    </w:p>
    <w:p>
      <w:r>
        <w:t xml:space="preserve">[5] OpenAI, DeepSeek 等大语言模型相关技术文档与 API 说明。</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pPr>
      <w:spacing w:line="360" w:lineRule="auto"/>
    </w:pPr>
    <w:rPr>
      <w:rFonts w:eastAsia="SimSun" w:ascii="Times New Roman" w:hAnsi="Times New Roman"/>
      <w:sz w:val="24"/>
    </w:rPr>
  </w:style>
  <w:style w:type="paragraph" w:styleId="Title">
    <w:name w:val="Title"/>
    <w:basedOn w:val="Normal"/>
    <w:pPr>
      <w:jc w:val="center"/>
      <w:spacing w:after="240"/>
    </w:pPr>
    <w:rPr>
      <w:b/>
      <w:rFonts w:eastAsia="SimHei" w:ascii="Times New Roman" w:hAnsi="Times New Roman"/>
      <w:sz w:val="36"/>
    </w:rPr>
  </w:style>
  <w:style w:type="paragraph" w:styleId="Heading1">
    <w:name w:val="heading 1"/>
    <w:basedOn w:val="Normal"/>
    <w:pPr>
      <w:spacing w:before="240" w:after="120"/>
    </w:pPr>
    <w:rPr>
      <w:b/>
      <w:rFonts w:eastAsia="SimHei" w:ascii="Times New Roman" w:hAnsi="Times New Roman"/>
      <w:sz w:val="30"/>
    </w:rPr>
  </w:style>
  <w:style w:type="paragraph" w:styleId="Heading2">
    <w:name w:val="heading 2"/>
    <w:basedOn w:val="Normal"/>
    <w:pPr>
      <w:spacing w:before="160" w:after="80"/>
    </w:pPr>
    <w:rPr>
      <w:b/>
      <w:rFonts w:eastAsia="SimHei" w:ascii="Times New Roman" w:hAnsi="Times New Roman"/>
      <w:sz w:val="26"/>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AGENTLESS 并发修复开题报告</dc:title>
  <dc:creator>Codex</dc:creator>
  <cp:lastModifiedBy>Codex</cp:lastModifiedBy>
  <dcterms:created xsi:type="dcterms:W3CDTF">2026-06-26T16:31:12Z</dcterms:created>
  <dcterms:modified xsi:type="dcterms:W3CDTF">2026-06-26T16:31:12Z</dcterms:modified>
</cp:coreProperties>
</file>