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Poppins" w:hAnsi="Poppins" w:cs="Poppins" w:eastAsia="Poppins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Poppins" w:hAnsi="Poppins" w:cs="Poppins" w:eastAsia="Poppin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Intercession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Opening prayer (Coordinator)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Word from the pastor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Praise and worship ( Michel )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First minister (min Paul)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Second minister (Min Brownson)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Exhortation and prayer (Evan Desmond)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Offerings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Sharing of Vision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Closing prayer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