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Operations Intelligence Suite</w:t>
      </w:r>
    </w:p>
    <w:p>
      <w:pPr>
        <w:spacing w:after="40"/>
      </w:pPr>
      <w:r>
        <w:rPr>
          <w:rFonts w:ascii="Arial" w:cs="Arial" w:eastAsia="Arial" w:hAnsi="Arial"/>
          <w:b/>
          <w:bCs/>
          <w:color w:val="5B7A99"/>
          <w:sz w:val="26"/>
          <w:szCs w:val="26"/>
        </w:rPr>
        <w:t xml:space="preserve">Backend &amp; ETL Documentation</w:t>
      </w:r>
    </w:p>
    <w:p>
      <w:pPr>
        <w:spacing w:after="240"/>
      </w:pPr>
      <w:r>
        <w:rPr>
          <w:i/>
          <w:iCs/>
          <w:color w:val="555555"/>
          <w:sz w:val="22"/>
          <w:szCs w:val="22"/>
        </w:rPr>
        <w:t xml:space="preserve">Data architecture, schema, cleaning and validation logic, transformations, and the exact formula behind every KPI.</w:t>
      </w:r>
    </w:p>
    <w:p>
      <w:pPr>
        <w:pStyle w:val="Heading1"/>
      </w:pPr>
      <w:r>
        <w:t xml:space="preserve">1. How the data layer is built</w:t>
      </w:r>
    </w:p>
    <w:p>
      <w:pPr>
        <w:spacing w:after="120" w:before="40"/>
      </w:pPr>
      <w:r>
        <w:rPr>
          <w:sz w:val="22"/>
          <w:szCs w:val="22"/>
        </w:rPr>
        <w:t xml:space="preserve">The dashboard is a front end. Behind it sits a small data layer made of four related tables. This document explains how those tables are structured, how the data is prepared so it can be trusted, and exactly how each number on the dashboard is calculated from them.</w:t>
      </w:r>
    </w:p>
    <w:p>
      <w:pPr>
        <w:spacing w:after="120" w:before="40"/>
      </w:pPr>
      <w:r>
        <w:rPr>
          <w:sz w:val="22"/>
          <w:szCs w:val="22"/>
        </w:rPr>
        <w:t xml:space="preserve">An honest note on this project: the dataset here is synthetic, generated specifically for the dashboard rather than pulled from a live system. So this document describes two things side by side: the validation and cleaning steps the data is put through (the same steps a real source would need), and the calculations the dashboard performs. Where a step is part of generation rather than cleaning, it is labelled as such, so nothing is overstated.</w:t>
      </w:r>
    </w:p>
    <w:p>
      <w:pPr>
        <w:pStyle w:val="Heading1"/>
      </w:pPr>
      <w:r>
        <w:t xml:space="preserve">2. Data architecture</w:t>
      </w:r>
    </w:p>
    <w:p>
      <w:pPr>
        <w:spacing w:after="120" w:before="40"/>
      </w:pPr>
      <w:r>
        <w:rPr>
          <w:sz w:val="22"/>
          <w:szCs w:val="22"/>
        </w:rPr>
        <w:t xml:space="preserve">The model is relational, meaning the tables connect through shared keys rather than living as one flat sheet. This is the same star-style shape a Power BI or Looker model would use, and it is what makes a figure consistent across pages: an agent's result rolls up to their team, and a team's result rolls up to the company, because they are all linked back to the same ticket rows.</w:t>
      </w:r>
    </w:p>
    <w:p>
      <w:pPr>
        <w:pStyle w:val="Heading3"/>
      </w:pPr>
      <w:r>
        <w:t xml:space="preserve">The four tables and how they link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c>
          <w:tcPr>
            <w:tcW w:type="dxa" w:w="22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Table</w:t>
            </w:r>
          </w:p>
        </w:tc>
        <w:tc>
          <w:tcPr>
            <w:tcW w:type="dxa" w:w="38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Grain (one row = )</w:t>
            </w:r>
          </w:p>
        </w:tc>
        <w:tc>
          <w:tcPr>
            <w:tcW w:type="dxa" w:w="30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Key</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agents</w:t>
            </w:r>
          </w:p>
        </w:tc>
        <w:tc>
          <w:tcPr>
            <w:tcW w:type="dxa" w:w="3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one agent</w:t>
            </w:r>
          </w:p>
        </w:tc>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AgentID</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tickets</w:t>
            </w:r>
          </w:p>
        </w:tc>
        <w:tc>
          <w:tcPr>
            <w:tcW w:type="dxa" w:w="3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one support ticket</w:t>
            </w:r>
          </w:p>
        </w:tc>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TicketID, links to AgentID</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qa</w:t>
            </w:r>
          </w:p>
        </w:tc>
        <w:tc>
          <w:tcPr>
            <w:tcW w:type="dxa" w:w="3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one agent per month</w:t>
            </w:r>
          </w:p>
        </w:tc>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AgentID + Month</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attendance</w:t>
            </w:r>
          </w:p>
        </w:tc>
        <w:tc>
          <w:tcPr>
            <w:tcW w:type="dxa" w:w="3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one agent per month</w:t>
            </w:r>
          </w:p>
        </w:tc>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AgentID + Month</w:t>
            </w:r>
          </w:p>
        </w:tc>
      </w:tr>
    </w:tbl>
    <w:p>
      <w:pPr>
        <w:spacing w:before="120"/>
      </w:pPr>
      <w:r>
        <w:rPr>
          <w:sz w:val="2"/>
          <w:szCs w:val="2"/>
        </w:rPr>
        <w:t xml:space="preserve"/>
      </w:r>
    </w:p>
    <w:p>
      <w:pPr>
        <w:spacing w:after="120" w:before="40"/>
      </w:pPr>
      <w:r>
        <w:rPr>
          <w:sz w:val="22"/>
          <w:szCs w:val="22"/>
        </w:rPr>
        <w:t xml:space="preserve">agents is the dimension table; it describes who each agent is. tickets, qa, and attendance are the fact tables; they hold the events and measurements. Every fact table carries AgentID, which is the join back to agents, and through agents to a team and team leader. That single relationship is what powers the roll-up from the Employee page through Team Leader up to Executive.</w:t>
      </w:r>
    </w:p>
    <w:p>
      <w:pPr>
        <w:pStyle w:val="Heading1"/>
      </w:pPr>
      <w:r>
        <w:t xml:space="preserve">3. The schema, field by field</w:t>
      </w:r>
    </w:p>
    <w:p>
      <w:pPr>
        <w:pStyle w:val="Heading2"/>
      </w:pPr>
      <w:r>
        <w:t xml:space="preserve">agents (23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00"/>
      </w:tblGrid>
      <w:tr>
        <w:tc>
          <w:tcPr>
            <w:tcW w:type="dxa" w:w="22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Field</w:t>
            </w:r>
          </w:p>
        </w:tc>
        <w:tc>
          <w:tcPr>
            <w:tcW w:type="dxa" w:w="15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Type</w:t>
            </w:r>
          </w:p>
        </w:tc>
        <w:tc>
          <w:tcPr>
            <w:tcW w:type="dxa" w:w="53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Meaning</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AgentID</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integer</w:t>
            </w:r>
          </w:p>
        </w:tc>
        <w:tc>
          <w:tcPr>
            <w:tcW w:type="dxa" w:w="5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unique id, the join key</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AgentName</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text</w:t>
            </w:r>
          </w:p>
        </w:tc>
        <w:tc>
          <w:tcPr>
            <w:tcW w:type="dxa" w:w="5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display name</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Team</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text</w:t>
            </w:r>
          </w:p>
        </w:tc>
        <w:tc>
          <w:tcPr>
            <w:tcW w:type="dxa" w:w="5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one of four teams</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TeamLeader</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text</w:t>
            </w:r>
          </w:p>
        </w:tc>
        <w:tc>
          <w:tcPr>
            <w:tcW w:type="dxa" w:w="5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the team's leader</w:t>
            </w:r>
          </w:p>
        </w:tc>
      </w:tr>
      <w:tr>
        <w:tc>
          <w:tcPr>
            <w:tcW w:type="dxa" w:w="2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TenureMonths</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integer</w:t>
            </w:r>
          </w:p>
        </w:tc>
        <w:tc>
          <w:tcPr>
            <w:tcW w:type="dxa" w:w="5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months employed</w:t>
            </w:r>
          </w:p>
        </w:tc>
      </w:tr>
    </w:tbl>
    <w:p>
      <w:pPr>
        <w:pStyle w:val="Heading2"/>
      </w:pPr>
      <w:r>
        <w:t xml:space="preserve">tickets (4,000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Field</w:t>
            </w:r>
          </w:p>
        </w:tc>
        <w:tc>
          <w:tcPr>
            <w:tcW w:type="dxa" w:w="19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Type</w:t>
            </w:r>
          </w:p>
        </w:tc>
        <w:tc>
          <w:tcPr>
            <w:tcW w:type="dxa" w:w="47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Meaning</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TicketID</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integer</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unique id</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Date</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date (YYYY-MM-DD)</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when the ticket was created</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AgentID</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integer</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who handled it (join to agents)</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Priority</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text</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Critical / High / Medium / Low</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Category</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text</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ticket type (6 values)</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Channel</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text</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how it arrived (5 values)</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ResolutionMinutes</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integer</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minutes to resolve</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Status</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text</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Open / In Progress / Pending / Resolved / Closed</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SLA_Met</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boolean</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did it meet its SLA target</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Escalated</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boolean</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was it escalated</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FCR</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boolean</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resolved on first contact</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CSAT</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integer 1-5</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customer satisfaction rating</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Revenue</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decimal</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service value of the ticket</w:t>
            </w:r>
          </w:p>
        </w:tc>
      </w:tr>
      <w:tr>
        <w:tc>
          <w:tcPr>
            <w:tcW w:type="dxa" w:w="2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Profit</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decimal</w:t>
            </w:r>
          </w:p>
        </w:tc>
        <w:tc>
          <w:tcPr>
            <w:tcW w:type="dxa" w:w="4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revenue minus estimated cost</w:t>
            </w:r>
          </w:p>
        </w:tc>
      </w:tr>
    </w:tbl>
    <w:p>
      <w:pPr>
        <w:pStyle w:val="Heading2"/>
      </w:pPr>
      <w:r>
        <w:t xml:space="preserve">qa (276 rows) and attendance (276 rows)</w:t>
      </w:r>
    </w:p>
    <w:p>
      <w:pPr>
        <w:spacing w:after="120" w:before="40"/>
      </w:pPr>
      <w:r>
        <w:rPr>
          <w:sz w:val="22"/>
          <w:szCs w:val="22"/>
        </w:rPr>
        <w:t xml:space="preserve">Both are monthly per agent: 23 agents over 12 months. qa holds QAScore (0-100) and a CoachingFlag (true when the score is below 75). attendance holds WorkDays, DaysPresent, DaysAbsent, and LateCount for the month.</w:t>
      </w:r>
    </w:p>
    <w:p>
      <w:pPr>
        <w:pStyle w:val="Heading1"/>
      </w:pPr>
      <w:r>
        <w:t xml:space="preserve">4. Business rules baked into the data</w:t>
      </w:r>
    </w:p>
    <w:p>
      <w:pPr>
        <w:spacing w:after="120" w:before="40"/>
      </w:pPr>
      <w:r>
        <w:rPr>
          <w:sz w:val="22"/>
          <w:szCs w:val="22"/>
        </w:rPr>
        <w:t xml:space="preserve">Two rules matter for understanding the numbers.</w:t>
      </w:r>
    </w:p>
    <w:p>
      <w:pPr>
        <w:pStyle w:val="Heading3"/>
      </w:pPr>
      <w:r>
        <w:t xml:space="preserve">SLA targets by priority</w:t>
      </w:r>
    </w:p>
    <w:p>
      <w:pPr>
        <w:spacing w:after="120" w:before="40"/>
      </w:pPr>
      <w:r>
        <w:rPr>
          <w:sz w:val="22"/>
          <w:szCs w:val="22"/>
        </w:rPr>
        <w:t xml:space="preserve">A ticket meets SLA if it was resolved within the target time for its priority. Higher priority means a tighter target: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Priority</w:t>
            </w:r>
          </w:p>
        </w:tc>
        <w:tc>
          <w:tcPr>
            <w:tcW w:type="dxa" w:w="56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SLA target</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Critical</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240 minutes (4 hours)</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High</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300 minutes (5 hours)</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Medium</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360 minutes (6 hours)</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Low</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480 minutes (8 hours)</w:t>
            </w:r>
          </w:p>
        </w:tc>
      </w:tr>
    </w:tbl>
    <w:p>
      <w:pPr>
        <w:spacing w:before="120"/>
      </w:pPr>
      <w:r>
        <w:rPr>
          <w:sz w:val="2"/>
          <w:szCs w:val="2"/>
        </w:rPr>
        <w:t xml:space="preserve"/>
      </w:r>
    </w:p>
    <w:p>
      <w:pPr>
        <w:pStyle w:val="Heading3"/>
      </w:pPr>
      <w:r>
        <w:t xml:space="preserve">The coaching flag</w:t>
      </w:r>
    </w:p>
    <w:p>
      <w:pPr>
        <w:spacing w:after="120" w:before="40"/>
      </w:pPr>
      <w:r>
        <w:rPr>
          <w:sz w:val="22"/>
          <w:szCs w:val="22"/>
        </w:rPr>
        <w:t xml:space="preserve">An agent-month is flagged for coaching when its QA score is below 75. On the Team Leader page, an agent shows a Coach flag if any of their months in the selected period fell below that line.</w:t>
      </w:r>
    </w:p>
    <w:p>
      <w:pPr>
        <w:pStyle w:val="Heading1"/>
      </w:pPr>
      <w:r>
        <w:t xml:space="preserve">5. Cleaning and validation</w:t>
      </w:r>
    </w:p>
    <w:p>
      <w:pPr>
        <w:spacing w:after="120" w:before="40"/>
      </w:pPr>
      <w:r>
        <w:rPr>
          <w:sz w:val="22"/>
          <w:szCs w:val="22"/>
        </w:rPr>
        <w:t xml:space="preserve">Before any number is calculated, the data is put through the same checks a real source feed would need. For this synthetic set most checks pass by construction, but the logic is real and is what would catch problems in live data.</w:t>
      </w:r>
    </w:p>
    <w:p>
      <w:pPr>
        <w:pStyle w:val="Heading3"/>
      </w:pPr>
      <w:r>
        <w:t xml:space="preserve">Type coercion</w:t>
      </w:r>
    </w:p>
    <w:p>
      <w:pPr>
        <w:spacing w:after="120" w:before="40"/>
      </w:pPr>
      <w:r>
        <w:rPr>
          <w:sz w:val="22"/>
          <w:szCs w:val="22"/>
        </w:rPr>
        <w:t xml:space="preserve">CSV stores everything as text. Numbers and booleans are converted on load so they can be calculated with. Money strings are stripped of any currency symbol or comma before becoming a number, and true/false text becomes a real boolean.</w:t>
      </w:r>
    </w:p>
    <w:p>
      <w:pPr>
        <w:pBdr>
          <w:left w:val="single" w:color="5B7A99" w:sz="18" w:space="6"/>
        </w:pBdr>
        <w:shd w:fill="F2F2F2" w:val="clear"/>
        <w:spacing w:after="0" w:before="60"/>
      </w:pPr>
      <w:r>
        <w:rPr>
          <w:rFonts w:ascii="Consolas" w:cs="Consolas" w:eastAsia="Consolas" w:hAnsi="Consolas"/>
          <w:sz w:val="18"/>
          <w:szCs w:val="18"/>
        </w:rPr>
        <w:t xml:space="preserve">function num(v){ return parseFloat(String(v).replace(/[$,\s]/g,'')) || 0; }</w:t>
      </w:r>
    </w:p>
    <w:p>
      <w:pPr>
        <w:pBdr>
          <w:left w:val="single" w:color="5B7A99" w:sz="18" w:space="6"/>
        </w:pBdr>
        <w:shd w:fill="F2F2F2" w:val="clear"/>
        <w:spacing w:after="120" w:before="0"/>
      </w:pPr>
      <w:r>
        <w:rPr>
          <w:rFonts w:ascii="Consolas" w:cs="Consolas" w:eastAsia="Consolas" w:hAnsi="Consolas"/>
          <w:sz w:val="18"/>
          <w:szCs w:val="18"/>
        </w:rPr>
        <w:t xml:space="preserve">// 'true' -&gt; 1, anything else -&gt; 0 for counting</w:t>
      </w:r>
    </w:p>
    <w:p>
      <w:pPr>
        <w:pStyle w:val="Heading3"/>
      </w:pPr>
      <w:r>
        <w:t xml:space="preserve">Validation checks (the gate)</w:t>
      </w:r>
    </w:p>
    <w:p>
      <w:pPr>
        <w:pStyle w:val="ListParagraph"/>
        <w:numPr>
          <w:ilvl w:val="0"/>
          <w:numId w:val="2"/>
        </w:numPr>
        <w:spacing w:after="60"/>
      </w:pPr>
      <w:r>
        <w:rPr>
          <w:sz w:val="22"/>
          <w:szCs w:val="22"/>
        </w:rPr>
        <w:t xml:space="preserve">Referential integrity: every ticket's AgentID must exist in the agents table, or the roll-ups would silently drop rows.</w:t>
      </w:r>
    </w:p>
    <w:p>
      <w:pPr>
        <w:pStyle w:val="ListParagraph"/>
        <w:numPr>
          <w:ilvl w:val="0"/>
          <w:numId w:val="2"/>
        </w:numPr>
        <w:spacing w:after="60"/>
      </w:pPr>
      <w:r>
        <w:rPr>
          <w:sz w:val="22"/>
          <w:szCs w:val="22"/>
        </w:rPr>
        <w:t xml:space="preserve">Range checks: CSAT must be 1-5; QAScore 0-100; ResolutionMinutes not negative; DaysPresent not greater than WorkDays.</w:t>
      </w:r>
    </w:p>
    <w:p>
      <w:pPr>
        <w:pStyle w:val="ListParagraph"/>
        <w:numPr>
          <w:ilvl w:val="0"/>
          <w:numId w:val="2"/>
        </w:numPr>
        <w:spacing w:after="60"/>
      </w:pPr>
      <w:r>
        <w:rPr>
          <w:sz w:val="22"/>
          <w:szCs w:val="22"/>
        </w:rPr>
        <w:t xml:space="preserve">Date validity: every ticket Date must parse to a real calendar date, since the time axis and month filters depend on it.</w:t>
      </w:r>
    </w:p>
    <w:p>
      <w:pPr>
        <w:pStyle w:val="ListParagraph"/>
        <w:numPr>
          <w:ilvl w:val="0"/>
          <w:numId w:val="2"/>
        </w:numPr>
        <w:spacing w:after="60"/>
      </w:pPr>
      <w:r>
        <w:rPr>
          <w:sz w:val="22"/>
          <w:szCs w:val="22"/>
        </w:rPr>
        <w:t xml:space="preserve">Completeness: the key fields used in KPIs (AgentID, Priority, the metric columns) must not be blank.</w:t>
      </w:r>
    </w:p>
    <w:p>
      <w:pPr>
        <w:spacing w:after="120" w:before="40"/>
      </w:pPr>
      <w:r>
        <w:rPr>
          <w:sz w:val="22"/>
          <w:szCs w:val="22"/>
        </w:rPr>
        <w:t xml:space="preserve">In a live pipeline a failure here would stop the run with a clear reason, the same gate-before-report principle used elsewhere in this toolkit, so a broken feed never produces a misleading dashboard.</w:t>
      </w:r>
    </w:p>
    <w:p>
      <w:pPr>
        <w:pStyle w:val="Heading3"/>
      </w:pPr>
      <w:r>
        <w:t xml:space="preserve">Transformations applied</w:t>
      </w:r>
    </w:p>
    <w:p>
      <w:pPr>
        <w:pStyle w:val="ListParagraph"/>
        <w:numPr>
          <w:ilvl w:val="0"/>
          <w:numId w:val="2"/>
        </w:numPr>
        <w:spacing w:after="60"/>
      </w:pPr>
      <w:r>
        <w:rPr>
          <w:sz w:val="22"/>
          <w:szCs w:val="22"/>
        </w:rPr>
        <w:t xml:space="preserve">Date to month: each ticket date is reduced to a YYYY-MM key for monthly grouping, then shown as a friendly label such as Jul 24.</w:t>
      </w:r>
    </w:p>
    <w:p>
      <w:pPr>
        <w:pStyle w:val="ListParagraph"/>
        <w:numPr>
          <w:ilvl w:val="0"/>
          <w:numId w:val="2"/>
        </w:numPr>
        <w:spacing w:after="60"/>
      </w:pPr>
      <w:r>
        <w:rPr>
          <w:sz w:val="22"/>
          <w:szCs w:val="22"/>
        </w:rPr>
        <w:t xml:space="preserve">Priority shorthand: priorities are stored as single letters (C/H/M/L) in the dashboard's working copy to keep the embedded data small, and expanded back to full words for display.</w:t>
      </w:r>
    </w:p>
    <w:p>
      <w:pPr>
        <w:pStyle w:val="ListParagraph"/>
        <w:numPr>
          <w:ilvl w:val="0"/>
          <w:numId w:val="2"/>
        </w:numPr>
        <w:spacing w:after="60"/>
      </w:pPr>
      <w:r>
        <w:rPr>
          <w:sz w:val="22"/>
          <w:szCs w:val="22"/>
        </w:rPr>
        <w:t xml:space="preserve">Booleans to counts: true/false fields are summed as 1/0 to produce rates (for example, SLA compliance is the share of tickets where SLA_Met is true).</w:t>
      </w:r>
    </w:p>
    <w:p>
      <w:pPr>
        <w:pStyle w:val="Heading1"/>
      </w:pPr>
      <w:r>
        <w:t xml:space="preserve">6. How each KPI is calculated</w:t>
      </w:r>
    </w:p>
    <w:p>
      <w:pPr>
        <w:spacing w:after="120" w:before="40"/>
      </w:pPr>
      <w:r>
        <w:rPr>
          <w:sz w:val="22"/>
          <w:szCs w:val="22"/>
        </w:rPr>
        <w:t xml:space="preserve">Every KPI is computed live in the browser from the filtered set of rows. Filters (date range, priority, team, agent) narrow the rows first; then the formula runs on whatever remains. The formulas below use plain notation: count() is a row count, sum() and avg() are over the filtered rows.</w:t>
      </w:r>
    </w:p>
    <w:p>
      <w:pPr>
        <w:pStyle w:val="Heading2"/>
      </w:pPr>
      <w:r>
        <w:t xml:space="preserve">Financial (Executive page)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KPI</w:t>
            </w:r>
          </w:p>
        </w:tc>
        <w:tc>
          <w:tcPr>
            <w:tcW w:type="dxa" w:w="56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Formula</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Revenue</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sum(Revenue) over filtered tickets</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Profit</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sum(Profit)</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Profit Margin</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sum(Profit) / sum(Revenue) x 100</w:t>
            </w:r>
          </w:p>
        </w:tc>
      </w:tr>
    </w:tbl>
    <w:p>
      <w:pPr>
        <w:pStyle w:val="Heading2"/>
      </w:pPr>
      <w:r>
        <w:t xml:space="preserve">Service quality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KPI</w:t>
            </w:r>
          </w:p>
        </w:tc>
        <w:tc>
          <w:tcPr>
            <w:tcW w:type="dxa" w:w="56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Formula</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SLA Compliance</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count(SLA_Met = true) / count(all) x 100</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Avg CSAT</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avg(CSAT), on the 1-5 scale</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Escalation Rate</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count(Escalated = true) / count(all) x 100</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First Contact Res</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count(FCR = true) / count(all) x 100</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Avg Resolution</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avg(ResolutionMinutes)</w:t>
            </w:r>
          </w:p>
        </w:tc>
      </w:tr>
    </w:tbl>
    <w:p>
      <w:pPr>
        <w:pStyle w:val="Heading2"/>
      </w:pPr>
      <w:r>
        <w:t xml:space="preserve">Quality audits and people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KPI</w:t>
            </w:r>
          </w:p>
        </w:tc>
        <w:tc>
          <w:tcPr>
            <w:tcW w:type="dxa" w:w="5600"/>
            <w:tcBorders>
              <w:top w:val="single" w:color="CCCCCC" w:sz="1"/>
              <w:left w:val="single" w:color="CCCCCC" w:sz="1"/>
              <w:bottom w:val="single" w:color="CCCCCC" w:sz="1"/>
              <w:right w:val="single" w:color="CCCCCC" w:sz="1"/>
            </w:tcBorders>
            <w:shd w:fill="E7EDF2" w:val="clear"/>
            <w:tcMar>
              <w:top w:type="dxa" w:w="50"/>
              <w:left w:type="dxa" w:w="90"/>
              <w:bottom w:type="dxa" w:w="50"/>
              <w:right w:type="dxa" w:w="90"/>
            </w:tcMar>
          </w:tcPr>
          <w:p>
            <w:r>
              <w:rPr>
                <w:rFonts w:ascii="Arial" w:cs="Arial" w:eastAsia="Arial" w:hAnsi="Arial"/>
                <w:b/>
                <w:bCs/>
                <w:sz w:val="19"/>
                <w:szCs w:val="19"/>
              </w:rPr>
              <w:t xml:space="preserve">Formula</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Avg QA Score</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avg(QAScore) over the qa rows in range</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Need Coaching</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count of distinct agents with any QA month below 75</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Attendance %</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sum(DaysPresent) / sum(WorkDays) x 100</w:t>
            </w:r>
          </w:p>
        </w:tc>
      </w:tr>
      <w:tr>
        <w:tc>
          <w:tcPr>
            <w:tcW w:type="dxa" w:w="30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Productivity</w:t>
            </w:r>
          </w:p>
        </w:tc>
        <w:tc>
          <w:tcPr>
            <w:tcW w:type="dxa" w:w="5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rFonts w:ascii="Consolas" w:cs="Consolas" w:eastAsia="Consolas" w:hAnsi="Consolas"/>
                <w:b w:val="false"/>
                <w:bCs w:val="false"/>
                <w:sz w:val="19"/>
                <w:szCs w:val="19"/>
              </w:rPr>
              <w:t xml:space="preserve">count(tickets) per agent in range</w:t>
            </w:r>
          </w:p>
        </w:tc>
      </w:tr>
    </w:tbl>
    <w:p>
      <w:pPr>
        <w:pStyle w:val="Heading2"/>
      </w:pPr>
      <w:r>
        <w:t xml:space="preserve">Worked example: SLA Compliance</w:t>
      </w:r>
    </w:p>
    <w:p>
      <w:pPr>
        <w:spacing w:after="120" w:before="40"/>
      </w:pPr>
      <w:r>
        <w:rPr>
          <w:sz w:val="22"/>
          <w:szCs w:val="22"/>
        </w:rPr>
        <w:t xml:space="preserve">Suppose the Operations page is filtered to High priority for one month, leaving 200 tickets, of which 150 have SLA_Met = true. The KPI is 150 / 200 x 100 = 75%. The health colour then comes from the config: with the SLA good threshold at 85 and warn at 70, 75% lands in the amber band. Change one number in the config and that judgement changes; the formula does not.</w:t>
      </w:r>
    </w:p>
    <w:p>
      <w:pPr>
        <w:pStyle w:val="Heading1"/>
      </w:pPr>
      <w:r>
        <w:t xml:space="preserve">7. How figures roll up across pages</w:t>
      </w:r>
    </w:p>
    <w:p>
      <w:pPr>
        <w:spacing w:after="120" w:before="40"/>
      </w:pPr>
      <w:r>
        <w:rPr>
          <w:sz w:val="22"/>
          <w:szCs w:val="22"/>
        </w:rPr>
        <w:t xml:space="preserve">The same underlying rows feed every page; only the grouping changes. This is why a number is consistent wherever it appears.</w:t>
      </w:r>
    </w:p>
    <w:p>
      <w:pPr>
        <w:pStyle w:val="ListParagraph"/>
        <w:numPr>
          <w:ilvl w:val="0"/>
          <w:numId w:val="2"/>
        </w:numPr>
        <w:spacing w:after="60"/>
      </w:pPr>
      <w:r>
        <w:rPr>
          <w:sz w:val="22"/>
          <w:szCs w:val="22"/>
        </w:rPr>
        <w:t xml:space="preserve">Employee page: filter tickets to one AgentID, then apply the formulas.</w:t>
      </w:r>
    </w:p>
    <w:p>
      <w:pPr>
        <w:pStyle w:val="ListParagraph"/>
        <w:numPr>
          <w:ilvl w:val="0"/>
          <w:numId w:val="2"/>
        </w:numPr>
        <w:spacing w:after="60"/>
      </w:pPr>
      <w:r>
        <w:rPr>
          <w:sz w:val="22"/>
          <w:szCs w:val="22"/>
        </w:rPr>
        <w:t xml:space="preserve">Team Leader page: filter to all AgentIDs in one team, then apply the same formulas; the agent ranking applies them per agent.</w:t>
      </w:r>
    </w:p>
    <w:p>
      <w:pPr>
        <w:pStyle w:val="ListParagraph"/>
        <w:numPr>
          <w:ilvl w:val="0"/>
          <w:numId w:val="2"/>
        </w:numPr>
        <w:spacing w:after="60"/>
      </w:pPr>
      <w:r>
        <w:rPr>
          <w:sz w:val="22"/>
          <w:szCs w:val="22"/>
        </w:rPr>
        <w:t xml:space="preserve">Executive page: no agent filter; the formulas run across everyone, and the team scorecard groups by team.</w:t>
      </w:r>
    </w:p>
    <w:p>
      <w:pPr>
        <w:spacing w:after="120" w:before="40"/>
      </w:pPr>
      <w:r>
        <w:rPr>
          <w:sz w:val="22"/>
          <w:szCs w:val="22"/>
        </w:rPr>
        <w:t xml:space="preserve">Because each level is just a wider or narrower slice of the same ticket rows, an agent's CSAT genuinely contributes to their team's CSAT, which contributes to the company CSAT. There is no separate, possibly-disagreeing copy of the number at each level.</w:t>
      </w:r>
    </w:p>
    <w:p>
      <w:pPr>
        <w:pStyle w:val="Heading1"/>
      </w:pPr>
      <w:r>
        <w:t xml:space="preserve">8. The threshold and colour configuration</w:t>
      </w:r>
    </w:p>
    <w:p>
      <w:pPr>
        <w:spacing w:after="120" w:before="40"/>
      </w:pPr>
      <w:r>
        <w:rPr>
          <w:sz w:val="22"/>
          <w:szCs w:val="22"/>
        </w:rPr>
        <w:t xml:space="preserve">All KPI thresholds and all colours live in one block at the top of the dashboard script, so tuning the dashboard never means editing chart code.</w:t>
      </w:r>
    </w:p>
    <w:p>
      <w:pPr>
        <w:pBdr>
          <w:left w:val="single" w:color="5B7A99" w:sz="18" w:space="6"/>
        </w:pBdr>
        <w:shd w:fill="F2F2F2" w:val="clear"/>
        <w:spacing w:after="0" w:before="60"/>
      </w:pPr>
      <w:r>
        <w:rPr>
          <w:rFonts w:ascii="Consolas" w:cs="Consolas" w:eastAsia="Consolas" w:hAnsi="Consolas"/>
          <w:sz w:val="18"/>
          <w:szCs w:val="18"/>
        </w:rPr>
        <w:t xml:space="preserve">const KPI_CONFIG = {</w:t>
      </w:r>
    </w:p>
    <w:p>
      <w:pPr>
        <w:pBdr>
          <w:left w:val="single" w:color="5B7A99" w:sz="18" w:space="6"/>
        </w:pBdr>
        <w:shd w:fill="F2F2F2" w:val="clear"/>
        <w:spacing w:after="0" w:before="0"/>
      </w:pPr>
      <w:r>
        <w:rPr>
          <w:rFonts w:ascii="Consolas" w:cs="Consolas" w:eastAsia="Consolas" w:hAnsi="Consolas"/>
          <w:sz w:val="18"/>
          <w:szCs w:val="18"/>
        </w:rPr>
        <w:t xml:space="preserve">  SLA:  {target:85, good:85, warn:70, unit:'%'},</w:t>
      </w:r>
    </w:p>
    <w:p>
      <w:pPr>
        <w:pBdr>
          <w:left w:val="single" w:color="5B7A99" w:sz="18" w:space="6"/>
        </w:pBdr>
        <w:shd w:fill="F2F2F2" w:val="clear"/>
        <w:spacing w:after="0" w:before="0"/>
      </w:pPr>
      <w:r>
        <w:rPr>
          <w:rFonts w:ascii="Consolas" w:cs="Consolas" w:eastAsia="Consolas" w:hAnsi="Consolas"/>
          <w:sz w:val="18"/>
          <w:szCs w:val="18"/>
        </w:rPr>
        <w:t xml:space="preserve">  CSAT: {target:4.0, good:4.0, warn:3.2, unit:'/5'},</w:t>
      </w:r>
    </w:p>
    <w:p>
      <w:pPr>
        <w:pBdr>
          <w:left w:val="single" w:color="5B7A99" w:sz="18" w:space="6"/>
        </w:pBdr>
        <w:shd w:fill="F2F2F2" w:val="clear"/>
        <w:spacing w:after="0" w:before="0"/>
      </w:pPr>
      <w:r>
        <w:rPr>
          <w:rFonts w:ascii="Consolas" w:cs="Consolas" w:eastAsia="Consolas" w:hAnsi="Consolas"/>
          <w:sz w:val="18"/>
          <w:szCs w:val="18"/>
        </w:rPr>
        <w:t xml:space="preserve">  Escalation: {target:20, good:20, warn:35, unit:'%', invert:true},</w:t>
      </w:r>
    </w:p>
    <w:p>
      <w:pPr>
        <w:pBdr>
          <w:left w:val="single" w:color="5B7A99" w:sz="18" w:space="6"/>
        </w:pBdr>
        <w:shd w:fill="F2F2F2" w:val="clear"/>
        <w:spacing w:after="0" w:before="0"/>
      </w:pPr>
      <w:r>
        <w:rPr>
          <w:rFonts w:ascii="Consolas" w:cs="Consolas" w:eastAsia="Consolas" w:hAnsi="Consolas"/>
          <w:sz w:val="18"/>
          <w:szCs w:val="18"/>
        </w:rPr>
        <w:t xml:space="preserve">  ...</w:t>
      </w:r>
    </w:p>
    <w:p>
      <w:pPr>
        <w:pBdr>
          <w:left w:val="single" w:color="5B7A99" w:sz="18" w:space="6"/>
        </w:pBdr>
        <w:shd w:fill="F2F2F2" w:val="clear"/>
        <w:spacing w:after="120" w:before="0"/>
      </w:pPr>
      <w:r>
        <w:rPr>
          <w:rFonts w:ascii="Consolas" w:cs="Consolas" w:eastAsia="Consolas" w:hAnsi="Consolas"/>
          <w:sz w:val="18"/>
          <w:szCs w:val="18"/>
        </w:rPr>
        <w:t xml:space="preserve">};</w:t>
      </w:r>
    </w:p>
    <w:p>
      <w:pPr>
        <w:spacing w:after="120" w:before="40"/>
      </w:pPr>
      <w:r>
        <w:rPr>
          <w:sz w:val="22"/>
          <w:szCs w:val="22"/>
        </w:rPr>
        <w:t xml:space="preserve">A value at or above good shows green, at or above warn shows amber, otherwise red. Metrics where lower is better (such as escalation rate) set invert:true, which flips that logic. The COLORS block beside it holds every colour, including the fixed priority palette used consistently on every page.</w:t>
      </w:r>
    </w:p>
    <w:p>
      <w:pPr>
        <w:pStyle w:val="Heading1"/>
      </w:pPr>
      <w:r>
        <w:t xml:space="preserve">9. Rebuilding this in Power BI or Looker Studio</w:t>
      </w:r>
    </w:p>
    <w:p>
      <w:pPr>
        <w:spacing w:after="120" w:before="40"/>
      </w:pPr>
      <w:r>
        <w:rPr>
          <w:sz w:val="22"/>
          <w:szCs w:val="22"/>
        </w:rPr>
        <w:t xml:space="preserve">The four CSVs are the portable model. In Power BI you would load the four tables, create the AgentID relationship from each fact table to agents, and write the KPIs as DAX measures that mirror the formulas in section 6 (for example, SLA Compliance as DIVIDE(CALCULATE(COUNTROWS, SLA_Met=TRUE), COUNTROWS)). In Looker Studio the same logic becomes calculated fields. Because the grain and keys are already clean, the model transfers without reshaping.</w:t>
      </w:r>
    </w:p>
    <w:p>
      <w:pPr>
        <w:pStyle w:val="Heading1"/>
      </w:pPr>
      <w:r>
        <w:t xml:space="preserve">10. Summary</w:t>
      </w:r>
    </w:p>
    <w:p>
      <w:pPr>
        <w:spacing w:after="120" w:before="40"/>
      </w:pPr>
      <w:r>
        <w:rPr>
          <w:sz w:val="22"/>
          <w:szCs w:val="22"/>
        </w:rPr>
        <w:t xml:space="preserve">The backend is four related tables: one describing agents, three recording tickets, QA, and attendance. Data is type-coerced and validated before use, dates are reduced to months for grouping, and booleans are summed into rates. Every KPI is a count, sum, average, or ratio over the filtered rows, with health colours decided by a single config block. The relational design is what keeps every figure consistent from the individual agent all the way up to the company 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5B7A99"/>
      <w:sz w:val="30"/>
      <w:szCs w:val="30"/>
    </w:rPr>
  </w:style>
  <w:style w:type="paragraph" w:styleId="Heading2">
    <w:name w:val="Heading 2"/>
    <w:basedOn w:val="Normal"/>
    <w:next w:val="Normal"/>
    <w:qFormat/>
    <w:pPr>
      <w:spacing w:after="90" w:before="200"/>
      <w:outlineLvl w:val="1"/>
    </w:pPr>
    <w:rPr>
      <w:rFonts w:ascii="Arial" w:cs="Arial" w:eastAsia="Arial" w:hAnsi="Arial"/>
      <w:b/>
      <w:bCs/>
      <w:color w:val="333333"/>
      <w:sz w:val="24"/>
      <w:szCs w:val="24"/>
    </w:rPr>
  </w:style>
  <w:style w:type="paragraph" w:styleId="Heading3">
    <w:name w:val="Heading 3"/>
    <w:basedOn w:val="Normal"/>
    <w:next w:val="Normal"/>
    <w:qFormat/>
    <w:pPr>
      <w:spacing w:after="70" w:before="150"/>
      <w:outlineLvl w:val="2"/>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2026-06-29T17:26:10.857Z</dcterms:created>
  <dcterms:modified xsi:type="dcterms:W3CDTF">2026-06-29T17:26:10.872Z</dcterms:modified>
</cp:coreProperties>
</file>

<file path=docProps/custom.xml><?xml version="1.0" encoding="utf-8"?>
<Properties xmlns="http://schemas.openxmlformats.org/officeDocument/2006/custom-properties" xmlns:vt="http://schemas.openxmlformats.org/officeDocument/2006/docPropsVTypes"/>
</file>