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В Графике проведения практики прописывается содержание работ понедельно.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3FD81E2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r w:rsidRPr="007B09E4">
        <w:rPr>
          <w:b/>
          <w:color w:val="000000" w:themeColor="text1"/>
          <w:sz w:val="28"/>
          <w:szCs w:val="28"/>
        </w:rPr>
        <w:t>Отчет_ФамилияИО_Группа.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3.4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6.3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>следует располагать в алфавитном порядке (включая все виды изданий, в том числе законы, стандарты, электронные, видео- и аудиоресурсы)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пт,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Баллод.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1A2042"/>
    <w:rsid w:val="004A6E88"/>
    <w:rsid w:val="00613517"/>
    <w:rsid w:val="007C6B27"/>
    <w:rsid w:val="00C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7</TotalTime>
  <Pages>1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4</cp:revision>
  <cp:lastPrinted>2021-04-01T05:56:00Z</cp:lastPrinted>
  <dcterms:created xsi:type="dcterms:W3CDTF">2021-04-01T05:57:00Z</dcterms:created>
  <dcterms:modified xsi:type="dcterms:W3CDTF">2021-04-03T03:57:00Z</dcterms:modified>
</cp:coreProperties>
</file>