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DISCUSSION</w:t>
      </w:r>
    </w:p>
    <w:p>
      <w:pPr>
        <w:spacing w:after="0" w:before="0" w:line="480" w:lineRule="auto"/>
        <w:ind w:firstLine="720"/>
        <w:jc w:val="both"/>
      </w:pPr>
      <w:r>
        <w:rPr>
          <w:rFonts w:ascii="Times New Roman" w:cs="Times New Roman" w:eastAsia="Times New Roman" w:hAnsi="Times New Roman"/>
          <w:sz w:val="22"/>
          <w:szCs w:val="22"/>
        </w:rPr>
        <w:t xml:space="preserve">This study developed and evaluated a dual-classifier machine learning framework for identifying Spanish adolescents with predictor profiles associated with victimization, perpetration, and victim–perpetrator overlap. Using a representative community sample of 4,024 school-attending adolescents, the framework achieved consistently high sensitivity across all three outcomes, with recall rates ranging from 80.9% to 90.5%, indicating that the large majority of adolescents meeting each outcome criterion were correctly identified. The findings advance understanding of the victim–offender overlap by examining, within a single integrated framework, the psychosocial, lifestyle, and contextual factors most strongly associated with each role and their co-occurrence. Beyond contributing to theoretical models of adolescent violence, the results provide empirically grounded knowledge to support the development of evidence-based early detection approaches targeting victimization and perpetration in educational settings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Predictive Performance of the Framework</w:t>
      </w:r>
    </w:p>
    <w:p>
      <w:pPr>
        <w:spacing w:after="0" w:before="0" w:line="480" w:lineRule="auto"/>
        <w:ind w:firstLine="720"/>
        <w:jc w:val="both"/>
      </w:pPr>
      <w:r>
        <w:rPr>
          <w:rFonts w:ascii="Times New Roman" w:cs="Times New Roman" w:eastAsia="Times New Roman" w:hAnsi="Times New Roman"/>
          <w:sz w:val="22"/>
          <w:szCs w:val="22"/>
        </w:rPr>
        <w:t xml:space="preserve">The recall-oriented performance obtained by both individual classifiers and the Smart AND ensemble rule represents a substantive contribution to the operationalisation of predictive screening for adolescent violence. Compared with prior machine learning studies addressing adjacent phenomena—including prediction of bullying perpetration (Zhou et al., 2025), suicidal behaviour among adolescents (Weller et al., 2021), and school violence risk (Ni et al., 2020)—the present framework achieved comparable sensitivity using exclusively global psychosocial and contextual predictors, rather than outcome-specific items, clinical indicators, or administrative records. This is particularly relevant for practical implementation, given that the predictor set consists of standardised, easily administered constructs routinely available in school-based surveys.</w:t>
      </w:r>
    </w:p>
    <w:p>
      <w:pPr>
        <w:spacing w:after="0" w:before="0" w:line="480" w:lineRule="auto"/>
        <w:ind w:firstLine="720"/>
        <w:jc w:val="both"/>
      </w:pPr>
      <w:r>
        <w:rPr>
          <w:rFonts w:ascii="Times New Roman" w:cs="Times New Roman" w:eastAsia="Times New Roman" w:hAnsi="Times New Roman"/>
          <w:sz w:val="22"/>
          <w:szCs w:val="22"/>
        </w:rPr>
        <w:t xml:space="preserve">The decision to prioritise recall over overall accuracy reflects an established ethical position in early screening research: when the costs of missing a genuine case substantially outweigh the costs of unnecessary assessment—which can be resolved through subsequent professional evaluation—a screening approach that maximises sensitivity while accepting a higher rate of false positives is generally preferable (Berk et al., 2009; Berk &amp; Hyatt, 2015). Positive classifications should therefore be interpreted as prioritisation signals requiring further assessment, and not as definitive determinations of risk status. This is consistent with the broader literature on the use of machine learning in prevention-oriented contexts, which emphasises the importance of aligning error weighting with the social consequences of each type of misclassification, rather than optimising for aggregate accuracy (Rosenbusch et al., 2021).</w:t>
      </w:r>
    </w:p>
    <w:p>
      <w:pPr>
        <w:spacing w:after="0" w:before="0" w:line="480" w:lineRule="auto"/>
        <w:ind w:firstLine="720"/>
        <w:jc w:val="both"/>
      </w:pPr>
      <w:r>
        <w:rPr>
          <w:rFonts w:ascii="Times New Roman" w:cs="Times New Roman" w:eastAsia="Times New Roman" w:hAnsi="Times New Roman"/>
          <w:sz w:val="22"/>
          <w:szCs w:val="22"/>
        </w:rPr>
        <w:t xml:space="preserve">A finding of particular practical relevance is the high negative predictive value observed for the perpetration classifier (NPV = 91.3%) and the Smart AND overlap rule (NPV = 90.8%). When both classifiers independently assigned a negative prediction, this judgement was correct in more than nine out of ten cases. This property suggests that the framework may be useful not only for identifying adolescents who warrant further evaluation, but also for helping practitioners deprioritise those who appear less likely to meet victimization or perpetration criteria—a form of bidirectional utility that has received limited attention in the predictive screening literature but that may carry significant resource allocation implications in large educational settings.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Factors Associated with Victimization</w:t>
      </w:r>
    </w:p>
    <w:p>
      <w:pPr>
        <w:spacing w:after="0" w:before="0" w:line="480" w:lineRule="auto"/>
        <w:ind w:firstLine="720"/>
        <w:jc w:val="both"/>
      </w:pPr>
      <w:r>
        <w:rPr>
          <w:rFonts w:ascii="Times New Roman" w:cs="Times New Roman" w:eastAsia="Times New Roman" w:hAnsi="Times New Roman"/>
          <w:sz w:val="22"/>
          <w:szCs w:val="22"/>
        </w:rPr>
        <w:t xml:space="preserve">The most prominent predictor domain associated with victimization was household composition and family structure. The decision-tree classifier reduced its classification to a single rule based on a composite dimension dominated by co-residence patterns—specifically, whether the adolescent lived with both parents and siblings—which provided the strongest available separation between victimized and non-victimized adolescents within the retained principal component space. This finding is consistent with ecological and exposure-based accounts of victimization that emphasise the central role of family environments in regulating adolescents' access to protective resources and their exposure to risk (Turner et al., 2013). Co-residence with the father emerged as a key indicator, which may reflect the moderating role of parental supervision and household stability on adolescent vulnerability—a mechanism consistently supported in both the victimization and delinquency literatures (Kierkus &amp; Hewitt, 2009). Caution is nonetheless warranted in interpreting this finding causally: the model identified household composition as the most statistically efficient separator within the available predictor set, which should not be taken to imply that family structure alone determines victimization risk. Rather, it suggests that household composition functions as a broad contextual marker capturing a constellation of social conditions—including supervision, stability, and access to support—that appear to organise vulnerability to violence in this sample.</w:t>
      </w:r>
    </w:p>
    <w:p>
      <w:pPr>
        <w:spacing w:after="0" w:before="0" w:line="480" w:lineRule="auto"/>
        <w:ind w:firstLine="720"/>
        <w:jc w:val="both"/>
      </w:pPr>
      <w:r>
        <w:rPr>
          <w:rFonts w:ascii="Times New Roman" w:cs="Times New Roman" w:eastAsia="Times New Roman" w:hAnsi="Times New Roman"/>
          <w:sz w:val="22"/>
          <w:szCs w:val="22"/>
        </w:rPr>
        <w:t xml:space="preserve">Running away from home or from a residential care setting also appeared as a strong predictor of victimization. This finding is consistent with the bidirectional role of running away described in the literature: it simultaneously reflects a response to prior or ongoing victimization exposure and increases the probability of further harm by placing adolescents in unsupervised, high-risk environments (Kaufman &amp; Widom, 1999). Research indicates that youth who run away are significantly more likely than their peers to experience physical and sexual victimization, and that residential instability more broadly is associated with cumulative exposure to multiple forms of violence (Sundin &amp; Baguley, 2015; Heerde &amp; Hemphill, 2019). The appearance of running away behaviour across multiple independent principal components in the PCA structure further suggests that it captures a broad and multidimensional vulnerability rather than a single, discretely defined risk.</w:t>
      </w:r>
    </w:p>
    <w:p>
      <w:pPr>
        <w:spacing w:after="0" w:before="0" w:line="480" w:lineRule="auto"/>
        <w:ind w:firstLine="720"/>
        <w:jc w:val="both"/>
      </w:pPr>
      <w:r>
        <w:rPr>
          <w:rFonts w:ascii="Times New Roman" w:cs="Times New Roman" w:eastAsia="Times New Roman" w:hAnsi="Times New Roman"/>
          <w:sz w:val="22"/>
          <w:szCs w:val="22"/>
        </w:rPr>
        <w:t xml:space="preserve">Ethnic minority background and non-heterosexual sexual orientation contributed to victimization risk in a manner consistent with minority stress frameworks, which propose that membership in socially marginalised groups increases exposure to targeted and ambient forms of interpersonal violence through direct discrimination, social exclusion, and heightened visibility as potential targets (Pusch &amp; Holtfreter, 2021). Finally, perceived social support—both its level and its consistency—appeared as a protective resource whose absence was associated with elevated victimization risk, extending prior evidence on the buffering function of support networks in reducing adolescent vulnerability to violence (Azimi &amp; Daigle, 2020; Cullen, 1994).</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Factors Associated with Perpetration</w:t>
      </w:r>
    </w:p>
    <w:p>
      <w:pPr>
        <w:spacing w:after="0" w:before="0" w:line="480" w:lineRule="auto"/>
        <w:ind w:firstLine="720"/>
        <w:jc w:val="both"/>
      </w:pPr>
      <w:r>
        <w:rPr>
          <w:rFonts w:ascii="Times New Roman" w:cs="Times New Roman" w:eastAsia="Times New Roman" w:hAnsi="Times New Roman"/>
          <w:sz w:val="22"/>
          <w:szCs w:val="22"/>
        </w:rPr>
        <w:t xml:space="preserve">The perpetration classifier identified a predictor profile that partially overlapped with that observed for victimization, while also including several more distinctive predictors. Household composition and family structure remained prominent, suggesting that structural instability in the home environment constitutes a shared risk foundation for both roles. This is consistent with theoretical accounts emphasising the dual function of family context in generating vulnerability to victimization and deficits in self-regulation that may facilitate offending (Berg &amp; Mulford, 2020; Kierkus &amp; Hewitt, 2009). Running away behaviour also appeared in both profiles, reinforcing its status as a broad cross-role risk indicator embedded in both exposure-based and control theory explanations of adolescent violence (Kaufman &amp; Widom, 1999; Jeanis et al., 2019).</w:t>
      </w:r>
    </w:p>
    <w:p>
      <w:pPr>
        <w:spacing w:after="0" w:before="0" w:line="480" w:lineRule="auto"/>
        <w:ind w:firstLine="720"/>
        <w:jc w:val="both"/>
      </w:pPr>
      <w:r>
        <w:rPr>
          <w:rFonts w:ascii="Times New Roman" w:cs="Times New Roman" w:eastAsia="Times New Roman" w:hAnsi="Times New Roman"/>
          <w:sz w:val="22"/>
          <w:szCs w:val="22"/>
        </w:rPr>
        <w:t xml:space="preserve">Beyond this shared core, pornography consumption was among the predictors appearing more specifically in the perpetration profile, consistent with experimental and longitudinal evidence linking exposure to sexually explicit material with attitudes and behaviours associated with sexual aggression among adolescents (Wright et al., 2016; Ybarra et al., 2011). Adolescents who consume pornography regularly may be more likely to develop distorted or coercive expectations about interpersonal relationships—particularly when violent or non-consensual content is involved—which may lower the threshold for engaging in aggressive behaviour (Gunnoo &amp; Powell, 2023). Frequency of alcohol use also featured distinctively in the perpetration profile, aligning with meta-analytic evidence linking alcohol intoxication to perpetration of violence through disinhibition, reduced threat appraisal, and impaired adherence to social norms governing aggression (Duke et al., 2018; Felson et al., 2008). These findings are consistent with routine activities and social interactionist perspectives on adolescent offending, which emphasise that lifestyle-related exposures increase the probability of involvement in violent encounters as a perpetrator as much as a victim (Turanovic &amp; Pratt, 2014).</w:t>
      </w:r>
    </w:p>
    <w:p>
      <w:pPr>
        <w:spacing w:after="0" w:before="0" w:line="480" w:lineRule="auto"/>
        <w:ind w:firstLine="720"/>
        <w:jc w:val="both"/>
      </w:pPr>
      <w:r>
        <w:rPr>
          <w:rFonts w:ascii="Times New Roman" w:cs="Times New Roman" w:eastAsia="Times New Roman" w:hAnsi="Times New Roman"/>
          <w:sz w:val="22"/>
          <w:szCs w:val="22"/>
        </w:rPr>
        <w:t xml:space="preserve">Instability in self-efficacy—rather than its average level—emerged as a predictor more distinctively associated with perpetration. This suggests that it may not be the overall sense of personal agency that differentiates perpetrators from non-perpetrators, but rather its inconsistency across situations and contexts. Theoretically, this is consistent with control theory accounts emphasising that fluctuations in self-regulatory capacity, rather than stable dispositional traits, may be the proximate drivers of offending behaviour (Gottfredson &amp; Hirschi, 1990; Pratt &amp; Cullen, 2000). Age also appeared in the perpetration model, with risk appearing to concentrate in mid-adolescence, in line with longstanding evidence on the age–crime curve and the developmental concentration of violent behaviour during this life stage (Steffensmeier et al., 2025). This pattern suggests that the perpetration classifier may be capturing, in part, the normative peak of conduct risk associated with adolescence—a feature that prevention programmes should account for when designing universal versus indicated intervention components.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Factors Associated with Victim–Perpetrator Overlap</w:t>
      </w:r>
    </w:p>
    <w:p>
      <w:pPr>
        <w:spacing w:after="0" w:before="0" w:line="480" w:lineRule="auto"/>
        <w:ind w:firstLine="720"/>
        <w:jc w:val="both"/>
      </w:pPr>
      <w:r>
        <w:rPr>
          <w:rFonts w:ascii="Times New Roman" w:cs="Times New Roman" w:eastAsia="Times New Roman" w:hAnsi="Times New Roman"/>
          <w:sz w:val="22"/>
          <w:szCs w:val="22"/>
        </w:rPr>
        <w:t xml:space="preserve">The predictor profile associated with victim–perpetrator overlap reflected a combination of the shared predictor core identified across both individual classifiers and elements specific to each role. The shared core—anchored by household instability, running away, ethnic minority status, and variability in perceived social support—is particularly consistent with the exposure perspective (Hindelang et al., 1978; Cohen &amp; Felson, 1979), which predicts that adolescents whose living arrangements and daily routines place them in sustained proximity to risk situations face heightened probability of both victimization and perpetration. From this standpoint, dual-role involvement may not reflect two separate causal pathways, but rather a single underlying exposure trajectory that simultaneously increases the probability of both outcomes.</w:t>
      </w:r>
    </w:p>
    <w:p>
      <w:pPr>
        <w:spacing w:after="0" w:before="0" w:line="480" w:lineRule="auto"/>
        <w:ind w:firstLine="720"/>
        <w:jc w:val="both"/>
      </w:pPr>
      <w:r>
        <w:rPr>
          <w:rFonts w:ascii="Times New Roman" w:cs="Times New Roman" w:eastAsia="Times New Roman" w:hAnsi="Times New Roman"/>
          <w:sz w:val="22"/>
          <w:szCs w:val="22"/>
        </w:rPr>
        <w:t xml:space="preserve">The perpetration-specific predictors observed in the overlap profile—including pornography use and self-efficacy instability—suggest that for dual-role adolescents, structural vulnerability to victimization may be accompanied by behavioural and self-regulatory factors that facilitate the transition toward perpetration. This pattern is consistent with moral disengagement accounts of the victim-to-perpetrator pathway, whereby adolescents who experience repeated victimization may normalise aggression through cognitive restructuring, progressively disengaging from the moral inhibitions that would otherwise constrain violent behaviour (Falla et al., 2020). The co-occurrence of high victimization exposure and behavioural risk factors in the overlap group also aligns with the developmental account of the victim–offender overlap proposed by Beckley et al. (2018), who found that dual-role status during adolescence reflects a period of intensified co-occurrence of disadvantage, with both victimization and offending peaking simultaneously in mid-adolescence before diverging in early adulthood.</w:t>
      </w:r>
    </w:p>
    <w:p>
      <w:pPr>
        <w:spacing w:after="0" w:before="0" w:line="480" w:lineRule="auto"/>
        <w:ind w:firstLine="720"/>
        <w:jc w:val="both"/>
      </w:pPr>
      <w:r>
        <w:rPr>
          <w:rFonts w:ascii="Times New Roman" w:cs="Times New Roman" w:eastAsia="Times New Roman" w:hAnsi="Times New Roman"/>
          <w:sz w:val="22"/>
          <w:szCs w:val="22"/>
        </w:rPr>
        <w:t xml:space="preserve">It is notable that the Smart AND ensemble rule achieved a higher specificity than either individual classifier (43.8% vs. 24.7% and 31.9% respectively), consistent with the conjunctive logic of the rule. However, with 429 false positives, the absolute number of incorrect positive classifications remains substantial, and dual-risk classifications should be treated as screening alerts requiring structured follow-up rather than as determinations of dual-role status. The strong NPV of the overlap rule (90.8%) nonetheless suggests that the system may effectively reduce the pool of adolescents requiring intensive dual-assessment to a manageable subset, which has practical implications for the feasibility of universal screening in educational settings.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Latent Subgroup Structure and Complementary Clustering Evidence</w:t>
      </w:r>
    </w:p>
    <w:p>
      <w:pPr>
        <w:spacing w:after="0" w:before="0" w:line="480" w:lineRule="auto"/>
        <w:ind w:firstLine="720"/>
        <w:jc w:val="both"/>
      </w:pPr>
      <w:r>
        <w:rPr>
          <w:rFonts w:ascii="Times New Roman" w:cs="Times New Roman" w:eastAsia="Times New Roman" w:hAnsi="Times New Roman"/>
          <w:sz w:val="22"/>
          <w:szCs w:val="22"/>
        </w:rPr>
        <w:t xml:space="preserve">The exploratory cluster analysis identified nine victim subgroups and five perpetrator subgroups with well-separated profiles based on item-level response patterns, providing a complementary view of the heterogeneity within each outcome group. The identification of a victim subgroup (Cluster 3, n = 1,092) with a perpetration rate of approximately 48%—nearly eight times the sample-wide prevalence—suggests that a substantial proportion of victimized adolescents simultaneously occupy a position of elevated perpetration probability. This finding is consistent with prior empirical evidence on the concentration of dual-role involvement in specific adolescent subgroups (Beckley et al., 2018; Erdmann &amp; Reinecke, 2018) and adds specificity to the broader observation that victimization and offending co-occur at higher rates than would be expected by chance.</w:t>
      </w:r>
    </w:p>
    <w:p>
      <w:pPr>
        <w:spacing w:after="0" w:before="0" w:line="480" w:lineRule="auto"/>
        <w:ind w:firstLine="720"/>
        <w:jc w:val="both"/>
      </w:pPr>
      <w:r>
        <w:rPr>
          <w:rFonts w:ascii="Times New Roman" w:cs="Times New Roman" w:eastAsia="Times New Roman" w:hAnsi="Times New Roman"/>
          <w:sz w:val="22"/>
          <w:szCs w:val="22"/>
        </w:rPr>
        <w:t xml:space="preserve">These findings are consistent with those reported by Pereda and Guerra (2025), who applied a hierarchical clustering approach to victimization and perpetration aggregate scores in the same representative sample and identified four broad profiles: a large 'no violence' group (59.4%), a 'victimization only' group (32.0%), a 'polyvictimization and perpetration' group (8.1%), and a small 'polyvictimization and polyperpetration' group (0.5%). The item-level cluster solution obtained in the present study extends these findings by revealing meaningful heterogeneity within the broad dual-role profile, while remaining structurally consistent with the core finding that victim–offender overlap is concentrated in a minority subgroup characterised by high and diversified involvement across multiple forms of violence. Taken together, the two analyses suggest that dual-role involvement is not a binary or unitary phenomenon, but rather a spectrum of profiles varying in intensity, form, and range of violence types—a distinction with implications for the design of targeted intervention approaches.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Theoretical Implications</w:t>
      </w:r>
    </w:p>
    <w:p>
      <w:pPr>
        <w:spacing w:after="0" w:before="0" w:line="480" w:lineRule="auto"/>
        <w:ind w:firstLine="720"/>
        <w:jc w:val="both"/>
      </w:pPr>
      <w:r>
        <w:rPr>
          <w:rFonts w:ascii="Times New Roman" w:cs="Times New Roman" w:eastAsia="Times New Roman" w:hAnsi="Times New Roman"/>
          <w:sz w:val="22"/>
          <w:szCs w:val="22"/>
        </w:rPr>
        <w:t xml:space="preserve">Several theoretical contributions emerge from the present findings. First, the pattern of shared and distinct predictors across victimization, perpetration, and overlap is broadly consistent with an integrated theoretical account drawing on both the exposure perspective and control theory. The shared predictor core—household instability, running away, social support deficits—aligns with exposure-based predictions that structural and lifestyle factors simultaneously increase proximity to violent situations and reduce access to the protective resources that would otherwise buffer against both victimization and offending. The perpetration-specific predictors—pornography use, alcohol frequency, self-efficacy instability—align with control theory and social interactionist accounts emphasising the role of impaired self-regulation and disinhibiting exposures in facilitating aggressive conduct. The overlap findings suggest that these two sets of mechanisms may operate in parallel within the same individuals, generating a cumulative risk profile that is greater than the sum of its parts (Berg &amp; Schreck, 2022).</w:t>
      </w:r>
    </w:p>
    <w:p>
      <w:pPr>
        <w:spacing w:after="0" w:before="0" w:line="480" w:lineRule="auto"/>
        <w:ind w:firstLine="720"/>
        <w:jc w:val="both"/>
      </w:pPr>
      <w:r>
        <w:rPr>
          <w:rFonts w:ascii="Times New Roman" w:cs="Times New Roman" w:eastAsia="Times New Roman" w:hAnsi="Times New Roman"/>
          <w:sz w:val="22"/>
          <w:szCs w:val="22"/>
        </w:rPr>
        <w:t xml:space="preserve">Second, the finding that intraindividual variability in psychosocial resources—rather than only their average levels—carries independent predictive information represents a contribution to the measurement of protective factors in adolescence. Both variability in social support and instability in self-efficacy contributed to the component structure used by the perpetration model, suggesting that the consistency of protective resources across different life domains may be a dimension of adolescent resilience that has been underexplored in cross-sectional survey research. Future studies employing experience sampling or longitudinal designs could test whether within-person variability in these constructs precedes or predicts the onset of victimization or perpetration involvement.</w:t>
      </w:r>
    </w:p>
    <w:p>
      <w:pPr>
        <w:spacing w:after="0" w:before="0" w:line="480" w:lineRule="auto"/>
        <w:ind w:firstLine="720"/>
        <w:jc w:val="both"/>
      </w:pPr>
      <w:r>
        <w:rPr>
          <w:rFonts w:ascii="Times New Roman" w:cs="Times New Roman" w:eastAsia="Times New Roman" w:hAnsi="Times New Roman"/>
          <w:sz w:val="22"/>
          <w:szCs w:val="22"/>
        </w:rPr>
        <w:t xml:space="preserve">Third, the parsimonious structure of the victimization classifier—reducing classification to a single dimension reflecting household composition—while methodologically constrained, raises important questions about the relative contribution of structural versus individual-level factors in predicting victimization. This finding does not imply that household structure causally determines victimization, but it does suggest that, within the available predictor space, contextual and structural indicators capture more variance in victimization outcomes than individual psychosocial characteristics measured at a single time point. This is consistent with ecological models of child and adolescent development that emphasise the primacy of proximal environmental contexts in shaping vulnerability trajectories (Turner et al., 2013).</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Practical Implications</w:t>
      </w:r>
    </w:p>
    <w:p>
      <w:pPr>
        <w:spacing w:after="0" w:before="0" w:line="480" w:lineRule="auto"/>
        <w:ind w:firstLine="720"/>
        <w:jc w:val="both"/>
      </w:pPr>
      <w:r>
        <w:rPr>
          <w:rFonts w:ascii="Times New Roman" w:cs="Times New Roman" w:eastAsia="Times New Roman" w:hAnsi="Times New Roman"/>
          <w:sz w:val="22"/>
          <w:szCs w:val="22"/>
        </w:rPr>
        <w:t xml:space="preserve">From a prevention standpoint, the dual-classifier framework offers a transparent, evidence-based approach to prioritising adolescents for further assessment within school or community settings. The strong recall rates obtained across all three outcomes suggest that the framework could function effectively as a first-stage screening filter within a stepped-care model: adolescents flagged by the system could be referred for comprehensive psychosocial evaluation, while those not flagged could be monitored at a lower intensity. The probabilistic risk scores generated by both classifiers support a tiered response protocol, enabling practitioners to differentiate between adolescents requiring immediate referral, those requiring monitoring, and those who may be adequately served by universal prevention programming. This form of resource-efficient triage may be particularly valuable in large educational systems where universal in-depth assessment is not feasible.</w:t>
      </w:r>
    </w:p>
    <w:p>
      <w:pPr>
        <w:spacing w:after="0" w:before="0" w:line="480" w:lineRule="auto"/>
        <w:ind w:firstLine="720"/>
        <w:jc w:val="both"/>
      </w:pPr>
      <w:r>
        <w:rPr>
          <w:rFonts w:ascii="Times New Roman" w:cs="Times New Roman" w:eastAsia="Times New Roman" w:hAnsi="Times New Roman"/>
          <w:sz w:val="22"/>
          <w:szCs w:val="22"/>
        </w:rPr>
        <w:t xml:space="preserve">The shared predictor profile identified across all three outcomes—centred on household instability, running away, and deficits in perceived social support—suggests that prevention programmes targeting these modifiable contextual and psychosocial factors may simultaneously reduce the probability of both victimization and perpetration. This supports the case for integrated, rather than separate, intervention strategies that address the common underlying vulnerability conditions rather than targeting victimization and offending as independent phenomena (Berg &amp; Schreck, 2022). The decision tree's classification rule, while reflecting the constraints of the current predictor set, could in principle support rapid professional triage in settings where structured psychosocial assessment is not immediately available, provided it is clearly understood as an initial filter requiring follow-up and not a substitute for professional evaluation.</w:t>
      </w:r>
    </w:p>
    <w:p>
      <w:pPr>
        <w:spacing w:after="0" w:before="0" w:line="480" w:lineRule="auto"/>
        <w:ind w:firstLine="720"/>
        <w:jc w:val="both"/>
      </w:pPr>
      <w:r>
        <w:rPr>
          <w:rFonts w:ascii="Times New Roman" w:cs="Times New Roman" w:eastAsia="Times New Roman" w:hAnsi="Times New Roman"/>
          <w:sz w:val="22"/>
          <w:szCs w:val="22"/>
        </w:rPr>
        <w:t xml:space="preserve">It is important to note that this framework is not designed to replace clinical or professional judgement, nor to produce definitive determinations of victimization or perpetration status. Its utility lies in prioritising professional attention under resource constraints, structuring the allocation of assessment resources in prevention-oriented settings, and generating information that complements rather than substitutes existing evaluation procedures. Practitioners applying the framework should be trained to interpret probabilistic outputs appropriately, to recognise the limitations arising from the cross-sectional, self-report nature of the underlying data, and to situate individual risk scores within a broader clinical and contextual understanding of each adolescent's circumstances.</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DISCUSIÓN</w:t>
      </w:r>
    </w:p>
    <w:p>
      <w:pPr>
        <w:spacing w:after="0" w:before="0" w:line="480" w:lineRule="auto"/>
        <w:ind w:firstLine="720"/>
        <w:jc w:val="both"/>
      </w:pPr>
      <w:r>
        <w:rPr>
          <w:rFonts w:ascii="Times New Roman" w:cs="Times New Roman" w:eastAsia="Times New Roman" w:hAnsi="Times New Roman"/>
          <w:sz w:val="22"/>
          <w:szCs w:val="22"/>
        </w:rPr>
        <w:t xml:space="preserve">Este estudio desarrolló y evaluó un sistema de clasificación dual basado en aprendizaje automático para identificar a adolescentes españoles con perfiles predictores asociados a la victimización, la perpetración y el solapamiento víctima–perpetrador. A partir de una muestra representativa de base comunitaria formada por 4.024 adolescentes escolarizados, el sistema alcanzó una sensibilidad consistentemente elevada en los tres outcomes evaluados, con tasas de recall de entre el 80,9% y el 90,5%, lo que indica que la gran mayoría de los adolescentes que cumplían los criterios de cada outcome fue correctamente identificada. Los hallazgos contribuyen al conocimiento sobre el solapamiento víctima–agresor al examinar, en un mismo marco integrado, los factores psicosociales, de estilo de vida y contextuales más estrechamente asociados a cada rol y a su coexistencia. Más allá de su contribución a los modelos teóricos sobre la violencia adolescente, los resultados aportan evidencia empírica para apoyar el desarrollo de estrategias de detección temprana basadas en evidencia, dirigidas a la victimización y la perpetración en entornos educativos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Rendimiento Predictivo del Sistema</w:t>
      </w:r>
    </w:p>
    <w:p>
      <w:pPr>
        <w:spacing w:after="0" w:before="0" w:line="480" w:lineRule="auto"/>
        <w:ind w:firstLine="720"/>
        <w:jc w:val="both"/>
      </w:pPr>
      <w:r>
        <w:rPr>
          <w:rFonts w:ascii="Times New Roman" w:cs="Times New Roman" w:eastAsia="Times New Roman" w:hAnsi="Times New Roman"/>
          <w:sz w:val="22"/>
          <w:szCs w:val="22"/>
        </w:rPr>
        <w:t xml:space="preserve">El rendimiento orientado al recall obtenido por ambos clasificadores individuales y la regla de conjunto Smart AND supone una contribución relevante a la operacionalización del cribado predictivo en el ámbito de la violencia adolescente. En comparación con estudios previos de aprendizaje automático centrados en fenómenos adyacentes —incluyendo la predicción de la perpetración de acoso escolar (Zhou et al., 2025), la conducta suicida en adolescentes (Weller et al., 2021) y el riesgo de violencia escolar (Ni et al., 2020)— el sistema desarrollado en este estudio alcanzó una sensibilidad comparable utilizando exclusivamente predictores globales de tipo psicosocial y contextual, sin recurrir a ítems específicos del outcome, indicadores clínicos o registros administrativos. Esto resulta especialmente relevante para la implementación práctica, dado que el conjunto de predictores está formado por constructos estandarizados y fácilmente administrables, disponibles habitualmente en las encuestas realizadas en contextos escolares.</w:t>
      </w:r>
    </w:p>
    <w:p>
      <w:pPr>
        <w:spacing w:after="0" w:before="0" w:line="480" w:lineRule="auto"/>
        <w:ind w:firstLine="720"/>
        <w:jc w:val="both"/>
      </w:pPr>
      <w:r>
        <w:rPr>
          <w:rFonts w:ascii="Times New Roman" w:cs="Times New Roman" w:eastAsia="Times New Roman" w:hAnsi="Times New Roman"/>
          <w:sz w:val="22"/>
          <w:szCs w:val="22"/>
        </w:rPr>
        <w:t xml:space="preserve">La decisión de priorizar el recall frente a la exactitud global refleja una posición ética consolidada en la investigación sobre cribado temprano: cuando el coste de no detectar un caso genuino es sustancialmente mayor que el coste de generar una alerta innecesaria —que puede resolverse mediante una evaluación profesional posterior— un sistema de cribado que maximiza la sensibilidad aceptando una tasa más elevada de falsos positivos resulta generalmente preferible (Berk et al., 2009; Berk &amp; Hyatt, 2015). Las clasificaciones positivas deben interpretarse, por tanto, como señales de priorización que requieren evaluación adicional y no como determinaciones definitivas del estado de riesgo. Esto es coherente con la literatura más amplia sobre el uso del aprendizaje automático en contextos preventivos, que subraya la importancia de alinear la ponderación de los errores con las consecuencias sociales de cada tipo de clasificación incorrecta, en lugar de optimizar únicamente la exactitud agregada (Rosenbusch et al., 2021).</w:t>
      </w:r>
    </w:p>
    <w:p>
      <w:pPr>
        <w:spacing w:after="0" w:before="0" w:line="480" w:lineRule="auto"/>
        <w:ind w:firstLine="720"/>
        <w:jc w:val="both"/>
      </w:pPr>
      <w:r>
        <w:rPr>
          <w:rFonts w:ascii="Times New Roman" w:cs="Times New Roman" w:eastAsia="Times New Roman" w:hAnsi="Times New Roman"/>
          <w:sz w:val="22"/>
          <w:szCs w:val="22"/>
        </w:rPr>
        <w:t xml:space="preserve">Un hallazgo de especial relevancia práctica es el elevado valor predictivo negativo observado para el clasificador de perpetración (VPN = 91,3%) y la regla de solapamiento Smart AND (VPN = 90,8%). Cuando ambos clasificadores asignaron de forma independiente una predicción negativa, este juicio fue correcto en más de nueve de cada diez casos. Esta propiedad sugiere que el sistema puede ser útil no solo para identificar a adolescentes que requieren evaluación adicional, sino también para ayudar a los profesionales a desestimar a aquellos que parecen menos probables de cumplir los criterios de victimización o perpetración —una forma de utilidad bidireccional que ha recibido escasa atención en la literatura sobre cribado predictivo, pero que puede tener implicaciones significativas para la asignación de recursos en entornos educativos amplios.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Factores Asociados a la Victimización</w:t>
      </w:r>
    </w:p>
    <w:p>
      <w:pPr>
        <w:spacing w:after="0" w:before="0" w:line="480" w:lineRule="auto"/>
        <w:ind w:firstLine="720"/>
        <w:jc w:val="both"/>
      </w:pPr>
      <w:r>
        <w:rPr>
          <w:rFonts w:ascii="Times New Roman" w:cs="Times New Roman" w:eastAsia="Times New Roman" w:hAnsi="Times New Roman"/>
          <w:sz w:val="22"/>
          <w:szCs w:val="22"/>
        </w:rPr>
        <w:t xml:space="preserve">El dominio predictor más prominente asociado a la victimización fue la composición del hogar y la estructura familiar. El clasificador basado en árbol de decisión redujo su clasificación a una única regla basada en una dimensión compuesta dominada por patrones de convivencia —concretamente, si el adolescente convivía con ambos progenitores y con hermanos— que proporcionó la mayor separación disponible entre adolescentes victimizados y no victimizados dentro del espacio de componentes principales retenidos. Este hallazgo es coherente con enfoques ecológicos y basados en la exposición que subrayan el papel central del entorno familiar en la regulación del acceso de los adolescentes a recursos protectores y en su exposición al riesgo (Turner et al., 2013). La convivencia con el padre emergió como un indicador relevante, lo que podría reflejar el papel moderador de la supervisión parental y la estabilidad del hogar en la vulnerabilidad adolescente —un mecanismo consistentemente respaldado tanto en la literatura sobre victimización como en la de delincuencia (Kierkus &amp; Hewitt, 2009)—. Sin embargo, es preciso actuar con cautela a la hora de interpretar este hallazgo de forma causal: el modelo identificó la composición del hogar como el separador estadístico más eficiente dentro del conjunto de predictores disponible, lo que no implica que la estructura familiar determine causalmente el riesgo de victimización. Más bien, sugiere que la composición del hogar funciona como un marcador contextual amplio que captura una constelación de condiciones sociales —incluyendo supervisión, estabilidad y acceso a apoyo— que parecen organizar la vulnerabilidad a la violencia en esta muestra.</w:t>
      </w:r>
    </w:p>
    <w:p>
      <w:pPr>
        <w:spacing w:after="0" w:before="0" w:line="480" w:lineRule="auto"/>
        <w:ind w:firstLine="720"/>
        <w:jc w:val="both"/>
      </w:pPr>
      <w:r>
        <w:rPr>
          <w:rFonts w:ascii="Times New Roman" w:cs="Times New Roman" w:eastAsia="Times New Roman" w:hAnsi="Times New Roman"/>
          <w:sz w:val="22"/>
          <w:szCs w:val="22"/>
        </w:rPr>
        <w:t xml:space="preserve">La conducta de fuga del hogar o de un centro de acogida también emergió como un predictor relevante de victimización. Este hallazgo es coherente con el papel bidireccional de las fugas descrito en la literatura: constituye simultáneamente una respuesta a la exposición a victimización previa o en curso y aumenta la probabilidad de daño adicional al situar a los adolescentes en entornos no supervisados y de mayor riesgo (Kaufman &amp; Widom, 1999). La investigación indica que los jóvenes que huyen del hogar presentan una probabilidad significativamente mayor que sus pares de experimentar victimización física y sexual, y que la inestabilidad residencial más ampliamente considerada está asociada con la exposición acumulada a múltiples formas de violencia (Sundin &amp; Baguley, 2015; Heerde &amp; Hemphill, 2019).</w:t>
      </w:r>
    </w:p>
    <w:p>
      <w:pPr>
        <w:spacing w:after="0" w:before="0" w:line="480" w:lineRule="auto"/>
        <w:ind w:firstLine="720"/>
        <w:jc w:val="both"/>
      </w:pPr>
      <w:r>
        <w:rPr>
          <w:rFonts w:ascii="Times New Roman" w:cs="Times New Roman" w:eastAsia="Times New Roman" w:hAnsi="Times New Roman"/>
          <w:sz w:val="22"/>
          <w:szCs w:val="22"/>
        </w:rPr>
        <w:t xml:space="preserve">El origen étnico minoritario y la orientación sexual no heterosexual contribuyeron al riesgo de victimización de forma coherente con los marcos del estrés de minoría, que proponen que la pertenencia a grupos socialmente marginalizados aumenta la exposición a formas dirigidas y ambientales de violencia interpersonal mediante la discriminación directa, la exclusión social y la mayor visibilidad como posibles objetivos (Pusch &amp; Holtfreter, 2021). Por último, el apoyo social percibido —tanto su nivel como su consistencia— emergió como un recurso protector cuya ausencia se asoció con un mayor riesgo de victimización, extendiendo la evidencia previa sobre la función amortiguadora de las redes de apoyo en la reducción de la vulnerabilidad adolescente a la violencia (Azimi &amp; Daigle, 2020; Cullen, 1994).</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Factores Asociados a la Perpetración</w:t>
      </w:r>
    </w:p>
    <w:p>
      <w:pPr>
        <w:spacing w:after="0" w:before="0" w:line="480" w:lineRule="auto"/>
        <w:ind w:firstLine="720"/>
        <w:jc w:val="both"/>
      </w:pPr>
      <w:r>
        <w:rPr>
          <w:rFonts w:ascii="Times New Roman" w:cs="Times New Roman" w:eastAsia="Times New Roman" w:hAnsi="Times New Roman"/>
          <w:sz w:val="22"/>
          <w:szCs w:val="22"/>
        </w:rPr>
        <w:t xml:space="preserve">El clasificador de perpetración identificó un perfil predictor que se solapaba parcialmente con el observado para la victimización, pero que incluía también varios predictores más distintivos. La composición del hogar y la estructura familiar se mantuvieron destacadas, lo que sugiere que la inestabilidad estructural del entorno doméstico constituye una base de riesgo compartida para ambos roles. Esto es coherente con enfoques teóricos que enfatizan la función dual del contexto familiar en la generación tanto de vulnerabilidad a la victimización como de déficits en la autorregulación que pueden facilitar la conducta agresiva (Berg &amp; Mulford, 2020; Kierkus &amp; Hewitt, 2009). La conducta de fuga también apareció en ambos perfiles, reforzando su condición de indicador de riesgo transversal integrado tanto en explicaciones basadas en la exposición como en la teoría del control (Kaufman &amp; Widom, 1999; Jeanis et al., 2019).</w:t>
      </w:r>
    </w:p>
    <w:p>
      <w:pPr>
        <w:spacing w:after="0" w:before="0" w:line="480" w:lineRule="auto"/>
        <w:ind w:firstLine="720"/>
        <w:jc w:val="both"/>
      </w:pPr>
      <w:r>
        <w:rPr>
          <w:rFonts w:ascii="Times New Roman" w:cs="Times New Roman" w:eastAsia="Times New Roman" w:hAnsi="Times New Roman"/>
          <w:sz w:val="22"/>
          <w:szCs w:val="22"/>
        </w:rPr>
        <w:t xml:space="preserve">Más allá de este núcleo compartido, el consumo de pornografía figuró entre los predictores que aparecieron de forma más específica en el perfil de perpetración, coherente con la evidencia experimental y longitudinal que vincula la exposición a material sexualmente explícito con actitudes y conductas asociadas a la agresión sexual en adolescentes (Wright et al., 2016; Ybarra et al., 2011). Los adolescentes que consumen pornografía con frecuencia pueden desarrollar expectativas distorsionadas o coercitivas sobre las relaciones interpersonales —especialmente cuando el contenido implica violencia o falta de consentimiento— lo que puede reducir el umbral de participación en conductas agresivas (Gunnoo &amp; Powell, 2023). La frecuencia del consumo de alcohol también figuró de forma destacada en el perfil de perpetración, alineándose con la evidencia meta-analítica que vincula la intoxicación alcohólica con la perpetración de violencia a través de la desinhibición, la reducción de la evaluación del riesgo y la alteración de las normas sociales que rigen la agresión (Duke et al., 2018; Felson et al., 2008).</w:t>
      </w:r>
    </w:p>
    <w:p>
      <w:pPr>
        <w:spacing w:after="0" w:before="0" w:line="480" w:lineRule="auto"/>
        <w:ind w:firstLine="720"/>
        <w:jc w:val="both"/>
      </w:pPr>
      <w:r>
        <w:rPr>
          <w:rFonts w:ascii="Times New Roman" w:cs="Times New Roman" w:eastAsia="Times New Roman" w:hAnsi="Times New Roman"/>
          <w:sz w:val="22"/>
          <w:szCs w:val="22"/>
        </w:rPr>
        <w:t xml:space="preserve">La inestabilidad de la autoeficacia —más que su nivel medio— emergió como un predictor asociado de forma más distintiva a la perpetración. Esto sugiere que no es el sentido global de capacidad personal lo que diferencia a los perpetradores de los no perpetradores, sino su inconsistencia entre situaciones y contextos. Desde un punto de vista teórico, esto es coherente con los planteamientos de la teoría del control que subrayan que las fluctuaciones en la capacidad de autorregulación, más que los rasgos disposicionales estables, pueden ser los factores proximales que impulsan la conducta delictiva (Gottfredson &amp; Hirschi, 1990; Pratt &amp; Cullen, 2000). La edad también apareció en el modelo de perpetración, con el riesgo que parecía concentrarse en la adolescencia media, en línea con la evidencia consolidada sobre la curva edad-delincuencia y la concentración del comportamiento violento en esta etapa del desarrollo (Steffensmeier et al., 2025).</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Factores Asociados al Solapamiento Víctima–Perpetrador</w:t>
      </w:r>
    </w:p>
    <w:p>
      <w:pPr>
        <w:spacing w:after="0" w:before="0" w:line="480" w:lineRule="auto"/>
        <w:ind w:firstLine="720"/>
        <w:jc w:val="both"/>
      </w:pPr>
      <w:r>
        <w:rPr>
          <w:rFonts w:ascii="Times New Roman" w:cs="Times New Roman" w:eastAsia="Times New Roman" w:hAnsi="Times New Roman"/>
          <w:sz w:val="22"/>
          <w:szCs w:val="22"/>
        </w:rPr>
        <w:t xml:space="preserve">El perfil predictor asociado al solapamiento víctima–perpetrador reflejó una combinación del núcleo compartido identificado en ambos clasificadores individuales y elementos específicos de cada rol. El núcleo compartido —anclado en la inestabilidad del hogar, las fugas, el origen étnico minoritario y la variabilidad en el apoyo social percibido— es especialmente coherente con la perspectiva de la exposición (Hindelang et al., 1978; Cohen &amp; Felson, 1979), que predice que los adolescentes cuyos entornos de vida y rutinas diarias los sitúan en proximidad sostenida a situaciones de riesgo presentan una mayor probabilidad tanto de ser victimizados como de perpetrar violencia. Desde este marco, la implicación de doble rol no refleja necesariamente dos trayectorias causales separadas, sino más bien una única trayectoria de exposición subyacente que aumenta simultáneamente la probabilidad de ambos outcomes.</w:t>
      </w:r>
    </w:p>
    <w:p>
      <w:pPr>
        <w:spacing w:after="0" w:before="0" w:line="480" w:lineRule="auto"/>
        <w:ind w:firstLine="720"/>
        <w:jc w:val="both"/>
      </w:pPr>
      <w:r>
        <w:rPr>
          <w:rFonts w:ascii="Times New Roman" w:cs="Times New Roman" w:eastAsia="Times New Roman" w:hAnsi="Times New Roman"/>
          <w:sz w:val="22"/>
          <w:szCs w:val="22"/>
        </w:rPr>
        <w:t xml:space="preserve">Los predictores específicos de perpetración observados en el perfil de solapamiento —consumo de pornografía e inestabilidad de la autoeficacia— sugieren que, en el caso de los adolescentes de doble rol, la vulnerabilidad estructural a la victimización puede ir acompañada de factores conductuales y de autorregulación que facilitan la transición hacia la perpetración. Este patrón es coherente con los planteamientos sobre el desenganche moral en el ciclo víctima-agresor, según los cuales los adolescentes que experimentan victimización repetida pueden normalizar la agresión a través de la reestructuración cognitiva, desenganchándose progresivamente de las inhibiciones morales que de otro modo restringirían su conducta violenta (Falla et al., 2020). La coexistencia de una alta exposición a la victimización y factores de riesgo conductuales en el grupo de solapamiento también se alinea con el planteamiento evolutivo propuesto por Beckley et al. (2018), quienes encontraron que el estatus de doble rol durante la adolescencia refleja un período de intensificación de la confluencia de desventajas, con la victimización y la conducta delictiva alcanzando simultáneamente su punto máximo en la adolescencia media.</w:t>
      </w:r>
    </w:p>
    <w:p>
      <w:pPr>
        <w:spacing w:after="0" w:before="0" w:line="480" w:lineRule="auto"/>
        <w:ind w:firstLine="720"/>
        <w:jc w:val="both"/>
      </w:pPr>
      <w:r>
        <w:rPr>
          <w:rFonts w:ascii="Times New Roman" w:cs="Times New Roman" w:eastAsia="Times New Roman" w:hAnsi="Times New Roman"/>
          <w:sz w:val="22"/>
          <w:szCs w:val="22"/>
        </w:rPr>
        <w:t xml:space="preserve">Cabe señalar que la regla Smart AND alcanzó una especificidad mayor que cualquiera de los clasificadores individuales (43,8% frente al 24,7% y el 31,9% respectivamente), coherente con la lógica conjuntiva de la regla. Sin embargo, con 429 falsos positivos, el número absoluto de clasificaciones positivas incorrectas sigue siendo sustancial, y las clasificaciones de riesgo dual deben tratarse como alertas de cribado que requieren seguimiento estructurado y no como determinaciones del estatus de doble rol. El elevado VPN de la regla de solapamiento (90,8%) sugiere, no obstante, que el sistema puede reducir eficazmente el grupo de adolescentes que requieren evaluación dual intensiva a un subconjunto manejable, lo que tiene implicaciones prácticas para la viabilidad del cribado universal en entornos educativos.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Estructura de Subgrupos Latentes y Análisis de Clúster Complementario</w:t>
      </w:r>
    </w:p>
    <w:p>
      <w:pPr>
        <w:spacing w:after="0" w:before="0" w:line="480" w:lineRule="auto"/>
        <w:ind w:firstLine="720"/>
        <w:jc w:val="both"/>
      </w:pPr>
      <w:r>
        <w:rPr>
          <w:rFonts w:ascii="Times New Roman" w:cs="Times New Roman" w:eastAsia="Times New Roman" w:hAnsi="Times New Roman"/>
          <w:sz w:val="22"/>
          <w:szCs w:val="22"/>
        </w:rPr>
        <w:t xml:space="preserve">El análisis clúster exploratorio identificó nueve subgrupos de víctimas y cinco subgrupos de perpetradores con perfiles bien separados basados en patrones de respuesta a nivel de ítem, proporcionando una perspectiva complementaria sobre la heterogeneidad dentro de cada grupo de outcome. La identificación de un subgrupo de víctimas (Clúster 3, n = 1.092) con una tasa de perpetración de aproximadamente el 48% —casi ocho veces la prevalencia general en la muestra— sugiere que una proporción sustancial de adolescentes victimizados ocupa simultáneamente una posición de riesgo elevado de perpetración. Este hallazgo es coherente con la evidencia previa sobre la concentración de la implicación de doble rol en subgrupos específicos de adolescentes (Beckley et al., 2018; Erdmann &amp; Reinecke, 2018) y añade especificidad a la observación general de que la victimización y la perpetración coocurren con mayor frecuencia de la esperada por azar.</w:t>
      </w:r>
    </w:p>
    <w:p>
      <w:pPr>
        <w:spacing w:after="0" w:before="0" w:line="480" w:lineRule="auto"/>
        <w:ind w:firstLine="720"/>
        <w:jc w:val="both"/>
      </w:pPr>
      <w:r>
        <w:rPr>
          <w:rFonts w:ascii="Times New Roman" w:cs="Times New Roman" w:eastAsia="Times New Roman" w:hAnsi="Times New Roman"/>
          <w:sz w:val="22"/>
          <w:szCs w:val="22"/>
        </w:rPr>
        <w:t xml:space="preserve">Estos hallazgos son coherentes con los reportados por Pereda y Guerra (2025), quienes aplicaron un enfoque de agrupamiento jerárquico a las puntuaciones agregadas de victimización y perpetración en la misma muestra representativa e identificaron cuatro perfiles amplios: un grupo mayoritario 'sin violencia' (59,4%), un grupo de 'victimización únicamente' (32,0%), un grupo de 'polivictimización y perpetración' (8,1%) y un pequeño grupo de 'polivictimización y poliperpetración' (0,5%). La solución de agrupamiento a nivel de ítem obtenida en el presente estudio extiende estos hallazgos al revelar heterogeneidad interna dentro del perfil de doble rol, mientras mantiene consistencia estructural con el hallazgo central de que la implicación víctima–agresor se concentra en un subgrupo minoritario caracterizado por una implicación elevada y diversificada en múltiples formas de violencia. Considerados conjuntamente, ambos análisis sugieren que la implicación de doble rol no es un fenómeno binario o unitario, sino un espectro de perfiles que varía en intensidad, forma y rango de tipos de violencia —una distinción con implicaciones para el diseño de enfoques de intervención específicos.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Implicaciones Teóricas</w:t>
      </w:r>
    </w:p>
    <w:p>
      <w:pPr>
        <w:spacing w:after="0" w:before="0" w:line="480" w:lineRule="auto"/>
        <w:ind w:firstLine="720"/>
        <w:jc w:val="both"/>
      </w:pPr>
      <w:r>
        <w:rPr>
          <w:rFonts w:ascii="Times New Roman" w:cs="Times New Roman" w:eastAsia="Times New Roman" w:hAnsi="Times New Roman"/>
          <w:sz w:val="22"/>
          <w:szCs w:val="22"/>
        </w:rPr>
        <w:t xml:space="preserve">De los presentes hallazgos emergen varias contribuciones teóricas. En primer lugar, el patrón de predictores compartidos y diferenciados entre victimización, perpetración y solapamiento es en general coherente con un planteamiento teórico integrado que combina la perspectiva de la exposición y la teoría del control. El núcleo predictor compartido —inestabilidad del hogar, fugas, déficits en el apoyo social— se alinea con las predicciones basadas en la exposición de que los factores estructurales y de estilo de vida aumentan simultáneamente la proximidad a situaciones violentas y reducen el acceso a los recursos protectores que de otro modo amortiguarían tanto la victimización como la perpetración. Los predictores específicos de perpetración —consumo de pornografía, frecuencia del consumo de alcohol, inestabilidad de la autoeficacia— se alinean con los planteamientos de la teoría del control y el enfoque social interaccionista, que enfatizan el papel de la regulación emocional deteriorada y las exposiciones desinhibidoras en la facilitación de la conducta agresiva. Los hallazgos sobre el solapamiento sugieren que estos dos conjuntos de mecanismos pueden operar en paralelo en los mismos individuos, generando un perfil de riesgo acumulado que supera la suma de sus partes (Berg &amp; Schreck, 2022).</w:t>
      </w:r>
    </w:p>
    <w:p>
      <w:pPr>
        <w:spacing w:after="0" w:before="0" w:line="480" w:lineRule="auto"/>
        <w:ind w:firstLine="720"/>
        <w:jc w:val="both"/>
      </w:pPr>
      <w:r>
        <w:rPr>
          <w:rFonts w:ascii="Times New Roman" w:cs="Times New Roman" w:eastAsia="Times New Roman" w:hAnsi="Times New Roman"/>
          <w:sz w:val="22"/>
          <w:szCs w:val="22"/>
        </w:rPr>
        <w:t xml:space="preserve">En segundo lugar, el hallazgo de que la variabilidad intraindividual en los recursos psicosociales —y no solo sus niveles medios— aporta información predictiva independiente representa una contribución a la medición de los factores protectores en la adolescencia. Tanto la variabilidad del apoyo social como la inestabilidad de la autoeficacia contribuyeron a la estructura de componentes utilizada por el modelo de perpetración, lo que sugiere que la consistencia de los recursos protectores en los distintos ámbitos vitales puede ser una dimensión de la resiliencia adolescente que ha sido insuficientemente explorada en la investigación transversal de base encuesta. Futuros estudios con diseños de muestreo de experiencias o longitudinales podrían contrastar si la variabilidad intraindividual en estos constructos precede o predice el inicio de la implicación en victimización o perpetración.</w:t>
      </w:r>
    </w:p>
    <w:p>
      <w:pPr>
        <w:spacing w:after="0" w:before="0" w:line="480" w:lineRule="auto"/>
        <w:ind w:firstLine="720"/>
        <w:jc w:val="both"/>
      </w:pPr>
      <w:r>
        <w:rPr>
          <w:rFonts w:ascii="Times New Roman" w:cs="Times New Roman" w:eastAsia="Times New Roman" w:hAnsi="Times New Roman"/>
          <w:sz w:val="22"/>
          <w:szCs w:val="22"/>
        </w:rPr>
        <w:t xml:space="preserve">En tercer lugar, la estructura parsimoniosa del clasificador de victimización —que reduce la clasificación a una única dimensión que refleja la composición del hogar— suscita preguntas importantes sobre la contribución relativa de los factores estructurales frente a los individuales en la predicción de la victimización. Este hallazgo no implica que la estructura del hogar determine causalmente la victimización, pero sí sugiere que, dentro del espacio de predictores disponible, los indicadores contextuales y estructurales capturan más varianza en los outcomes de victimización que las características psicosociales individuales medidas en un único punto temporal. Esto es coherente con los modelos ecológicos del desarrollo infantil y adolescente que enfatizan la primacía de los contextos ambientales proximales en la configuración de las trayectorias de vulnerabilidad (Turner et al., 2013).</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Implicaciones Prácticas</w:t>
      </w:r>
    </w:p>
    <w:p>
      <w:pPr>
        <w:spacing w:after="0" w:before="0" w:line="480" w:lineRule="auto"/>
        <w:ind w:firstLine="720"/>
        <w:jc w:val="both"/>
      </w:pPr>
      <w:r>
        <w:rPr>
          <w:rFonts w:ascii="Times New Roman" w:cs="Times New Roman" w:eastAsia="Times New Roman" w:hAnsi="Times New Roman"/>
          <w:sz w:val="22"/>
          <w:szCs w:val="22"/>
        </w:rPr>
        <w:t xml:space="preserve">Desde una perspectiva preventiva, el sistema de doble clasificador ofrece un enfoque transparente y basado en evidencia para priorizar a los adolescentes para evaluación adicional en entornos escolares o comunitarios. Las elevadas tasas de recall obtenidas en los tres outcomes sugieren que el sistema podría funcionar eficazmente como filtro de primera etapa dentro de un modelo de atención escalonada: los adolescentes identificados por el sistema podrían derivarse para una evaluación psicosocial integral, mientras que los no identificados podrían monitorizarse con menor intensidad. Las puntuaciones de probabilidad continuas generadas por ambos clasificadores apoyan un protocolo de respuesta por niveles, que permite a los profesionales diferenciar entre adolescentes que requieren derivación inmediata, aquellos que requieren seguimiento y los que pueden ser atendidos adecuadamente con programas de prevención universal. Esta forma de triaje eficiente en el uso de recursos puede ser especialmente valiosa en sistemas educativos amplios donde la evaluación en profundidad universal no es viable.</w:t>
      </w:r>
    </w:p>
    <w:p>
      <w:pPr>
        <w:spacing w:after="0" w:before="0" w:line="480" w:lineRule="auto"/>
        <w:ind w:firstLine="720"/>
        <w:jc w:val="both"/>
      </w:pPr>
      <w:r>
        <w:rPr>
          <w:rFonts w:ascii="Times New Roman" w:cs="Times New Roman" w:eastAsia="Times New Roman" w:hAnsi="Times New Roman"/>
          <w:sz w:val="22"/>
          <w:szCs w:val="22"/>
        </w:rPr>
        <w:t xml:space="preserve">El perfil predictor compartido identificado en los tres outcomes —centrado en la inestabilidad del hogar, las fugas y los déficits en el apoyo social percibido— sugiere que los programas de prevención dirigidos a estos factores contextuales y psicosociales modificables pueden reducir simultáneamente la probabilidad tanto de victimización como de perpetración. Esto apoya la conveniencia de estrategias de intervención integradas, en lugar de separadas, que aborden las condiciones de vulnerabilidad subyacentes comunes en lugar de tratar la victimización y la perpetración como fenómenos independientes (Berg &amp; Schreck, 2022). La regla de clasificación del árbol de decisión podría, en principio, apoyar un triaje profesional rápido en entornos donde la evaluación psicosocial estructurada no está disponible de inmediato, siempre que se entienda claramente como un filtro inicial que requiere seguimiento y no como un sustituto de la evaluación profesional.</w:t>
      </w:r>
    </w:p>
    <w:p>
      <w:pPr>
        <w:spacing w:after="0" w:before="0" w:line="480" w:lineRule="auto"/>
        <w:ind w:firstLine="720"/>
        <w:jc w:val="both"/>
      </w:pPr>
      <w:r>
        <w:rPr>
          <w:rFonts w:ascii="Times New Roman" w:cs="Times New Roman" w:eastAsia="Times New Roman" w:hAnsi="Times New Roman"/>
          <w:sz w:val="22"/>
          <w:szCs w:val="22"/>
        </w:rPr>
        <w:t xml:space="preserve">Es importante señalar que este sistema no está diseñado para reemplazar el juicio clínico o profesional, ni para producir determinaciones definitivas sobre el estatus de victimización o perpetración. Su utilidad reside en priorizar la atención profesional en condiciones de recursos limitados, estructurar la asignación de los recursos de evaluación en entornos preventivos y generar información que complementa —en lugar de sustituir— los procedimientos de evaluación existentes. Los profesionales que apliquen el sistema deben estar formados para interpretar los resultados probabilísticos de forma adecuada, reconocer las limitaciones derivadas de la naturaleza transversal y de autoinforme de los datos subyacentes, y situar las puntuaciones de riesgo individuales en el marco de una comprensión clínica y contextual más amplia de las circunstancias de cada adolescente.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2026-06-10T10:12:19.369Z</dcterms:created>
  <dcterms:modified xsi:type="dcterms:W3CDTF">2026-06-10T10:12:19.374Z</dcterms:modified>
</cp:coreProperties>
</file>

<file path=docProps/custom.xml><?xml version="1.0" encoding="utf-8"?>
<Properties xmlns="http://schemas.openxmlformats.org/officeDocument/2006/custom-properties" xmlns:vt="http://schemas.openxmlformats.org/officeDocument/2006/docPropsVTypes"/>
</file>