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line="480" w:lineRule="auto"/>
        <w:jc w:val="center"/>
      </w:pPr>
      <w:r>
        <w:rPr>
          <w:rFonts w:ascii="Times New Roman" w:cs="Times New Roman" w:eastAsia="Times New Roman" w:hAnsi="Times New Roman"/>
          <w:b/>
          <w:bCs/>
          <w:sz w:val="22"/>
          <w:szCs w:val="22"/>
        </w:rPr>
        <w:t xml:space="preserve">DISCUSSION</w:t>
      </w:r>
    </w:p>
    <w:p>
      <w:pPr>
        <w:spacing w:after="0" w:before="0" w:line="480" w:lineRule="auto"/>
        <w:ind w:firstLine="720"/>
        <w:jc w:val="both"/>
      </w:pPr>
      <w:r>
        <w:rPr>
          <w:rFonts w:ascii="Times New Roman" w:cs="Times New Roman" w:eastAsia="Times New Roman" w:hAnsi="Times New Roman"/>
          <w:sz w:val="22"/>
          <w:szCs w:val="22"/>
        </w:rPr>
        <w:t xml:space="preserve">This study developed and evaluated a three-classifier machine learning framework to identify adolescents with predictor profiles associated with victimization, perpetration, and victim–perpetrator overlap, drawing on a representative community sample of 4,024 school-attending adolescents in Spain. The three classifiers achieved recall rates of 79.8–90.5%, indicating that the large majority of adolescents meeting each outcome criterion were correctly identified using exclusively global psychosocial, lifestyle, and contextual predictors. These findings advance understanding of the victim–offender overlap by demonstrating that each of the three outcomes—broad victimization, perpetration, and their co-occurrence—can be modelled with distinct yet overlapping predictor profiles, and that victim–perpetrator overlap functions as a phenomenon with its own predictor structure rather than a simple intersection of the other two (Yarkoni &amp; Westfall, 2017).</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Predictive Performance and the Recall–Precision Trade-Off</w:t>
      </w:r>
    </w:p>
    <w:p>
      <w:pPr>
        <w:spacing w:after="0" w:before="0" w:line="480" w:lineRule="auto"/>
        <w:ind w:firstLine="720"/>
        <w:jc w:val="both"/>
      </w:pPr>
      <w:r>
        <w:rPr>
          <w:rFonts w:ascii="Times New Roman" w:cs="Times New Roman" w:eastAsia="Times New Roman" w:hAnsi="Times New Roman"/>
          <w:sz w:val="22"/>
          <w:szCs w:val="22"/>
        </w:rPr>
        <w:t xml:space="preserve">The recall-oriented design of all three classifiers reflects an established ethical stance in preventive screening: when the consequences of missing a genuine case substantially outweigh those of generating a false alert—which can be resolved through subsequent professional evaluation—maximising sensitivity at the cost of precision is generally justified (Berk et al., 2009; Berk &amp; Hyatt, 2015). The resulting false-positive rates, particularly for perpetration and overlap, are therefore expected properties of a screening system rather than technical failures. Compared with prior machine learning studies in adjacent domains—including bullying perpetration (Zhou et al., 2025), suicidal behaviour (Weller et al., 2021), and school violence risk (Ni et al., 2020)—the present framework achieved comparable sensitivity using only standardised survey constructs, without clinical indicators or administrative records, which supports its practical deployability in educational settings (Rosenbusch et al., 2021). A positive classification should be treated by practitioners as a prioritisation signal requiring further assessment, not as a determination of status.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Theoretical Significance of the Predictor Profiles</w:t>
      </w:r>
    </w:p>
    <w:p>
      <w:pPr>
        <w:spacing w:after="0" w:before="0" w:line="480" w:lineRule="auto"/>
        <w:ind w:firstLine="720"/>
        <w:jc w:val="both"/>
      </w:pPr>
      <w:r>
        <w:rPr>
          <w:rFonts w:ascii="Times New Roman" w:cs="Times New Roman" w:eastAsia="Times New Roman" w:hAnsi="Times New Roman"/>
          <w:sz w:val="22"/>
          <w:szCs w:val="22"/>
        </w:rPr>
        <w:t xml:space="preserve">The most consistent finding across the three classifiers is a shared vulnerability core anchored by household composition, running away behaviour, and deficits in perceived social support. This pattern is consistent with the exposure perspective (Hindelang et al., 1978; Cohen &amp; Felson, 1979), under which structural family instability and residential disruption simultaneously limit access to protective resources and increase proximity to risk situations. Running away is particularly notable: it appears across multiple independent predictor components, reflecting its dual role as both a consequence of prior victimization and a pathway to further harm through unsupervised environments (Kaufman &amp; Widom, 1999; Sundin &amp; Baguley, 2015). Ethnic minority background and non-heterosexual orientation contributed to victimization risk in a manner consistent with minority stress models (Pusch &amp; Holtfreter, 2021), while the variability—rather than the average level—of social support and self-efficacy emerged as predictively relevant, suggesting that inconsistency in protective resources may be at least as important as their magnitude in organising adolescent risk.</w:t>
      </w:r>
    </w:p>
    <w:p>
      <w:pPr>
        <w:spacing w:after="0" w:before="0" w:line="480" w:lineRule="auto"/>
        <w:ind w:firstLine="720"/>
        <w:jc w:val="both"/>
      </w:pPr>
      <w:r>
        <w:rPr>
          <w:rFonts w:ascii="Times New Roman" w:cs="Times New Roman" w:eastAsia="Times New Roman" w:hAnsi="Times New Roman"/>
          <w:sz w:val="22"/>
          <w:szCs w:val="22"/>
        </w:rPr>
        <w:t xml:space="preserve">The perpetration profile added three more specific predictors beyond the shared core: frequency of pornography use, frequency of alcohol consumption, and instability of self-efficacy. Pornography use aligns with evidence linking exposure to sexually explicit material with normalised coercive expectations and lowered inhibitions toward aggression (Wright et al., 2016; Gunnoo &amp; Powell, 2023). Alcohol use is consistent with the disinhibition and threat-appraisal mechanisms documented in meta-analytic evidence on intoxication and violence (Duke et al., 2018; Felson et al., 2008). That intraindividual instability in self-efficacy—rather than its level—differentiates perpetrators is consistent with control theory accounts in which fluctuating self-regulatory capacity, rather than stable traits, constitutes the proximate driver of offending (Gottfredson &amp; Hirschi, 1990; Pratt &amp; Cullen, 2000). Taken together, the shared core and perpetration-specific factors support an integrated theoretical account drawing on both the exposure perspective and control theory, with the two sets of mechanisms operating in parallel within high-risk individuals (Berg &amp; Schreck, 2022).</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Victim–Perpetrator Overlap as a Distinct Predictive Phenomenon</w:t>
      </w:r>
    </w:p>
    <w:p>
      <w:pPr>
        <w:spacing w:after="0" w:before="0" w:line="480" w:lineRule="auto"/>
        <w:ind w:firstLine="720"/>
        <w:jc w:val="both"/>
      </w:pPr>
      <w:r>
        <w:rPr>
          <w:rFonts w:ascii="Times New Roman" w:cs="Times New Roman" w:eastAsia="Times New Roman" w:hAnsi="Times New Roman"/>
          <w:sz w:val="22"/>
          <w:szCs w:val="22"/>
        </w:rPr>
        <w:t xml:space="preserve">A key methodological finding is that a dedicated neural network trained directly on the dual-role outcome outperformed the conjunctive Smart AND rule across all metrics except recall (which remained equivalent at approximately 80%). The consistent advantage in specificity, precision, NPV, F1, and balanced accuracy suggests that the overlap group possesses a predictor signature that cannot be fully derived from the independent victimization and perpetration profiles—that is, the combination of risk factors within dual-role adolescents carries predictive information beyond what either classifier captures separately. This is theoretically meaningful: it supports frameworks characterising the victim–offender overlap not as a statistical intersection of two independent risk processes, but as a developmentally distinct profile with its own determinants (Jennings et al., 2012; Beckley et al., 2018). The exploratory cluster analysis reinforces this: within the victim-cluster most concentrated for perpetration (Cluster 3, n = 1,092), approximately 48% of adolescents also met perpetration criteria—roughly twice the sample-wide perpetration prevalence of 23.5%—and comparable high-victimization rates were observed within specific perpetrator clusters, consistent with the profile typology reported by Pereda and Guerra (2025) on the same sample.</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Practical Implications</w:t>
      </w:r>
    </w:p>
    <w:p>
      <w:pPr>
        <w:spacing w:after="0" w:before="0" w:line="480" w:lineRule="auto"/>
        <w:ind w:firstLine="720"/>
        <w:jc w:val="both"/>
      </w:pPr>
      <w:r>
        <w:rPr>
          <w:rFonts w:ascii="Times New Roman" w:cs="Times New Roman" w:eastAsia="Times New Roman" w:hAnsi="Times New Roman"/>
          <w:sz w:val="22"/>
          <w:szCs w:val="22"/>
        </w:rPr>
        <w:t xml:space="preserve">The framework's most practical contribution lies in the continuous probability scores it generates for each adolescent, which support a tiered triage logic: those with the highest estimated probabilities across any of the three outcomes can be prioritised for immediate structured assessment, intermediate scores can trigger monitoring, and low scores can be used to reduce monitoring intensity rather than to rule out concern entirely—given that NPV values were particularly high for perpetration and overlap, indicating that negative classifications for these outcomes were correct in more than nine out of ten cases. The shared predictor core across all three outcomes—household instability, running away, social support deficits—further suggests that prevention programmes targeting these modifiable contextual factors may simultaneously reduce the probability of victimization, perpetration, and dual-role involvement, supporting integrated rather than siloed intervention designs (Berg &amp; Schreck, 2022). The decision tree's single-rule classification, while reflecting the constraints of the available predictor set, could support rapid initial triage in low-resource settings, provided it is treated as an entry point to professional evaluation rather than a classification endpoint. In all deployment contexts, practitioners should be trained to interpret probabilistic outputs appropriately, to recognise that false-positive rates remain substantial, and to situate model outputs within a broader clinical understanding of each adolescent's circumstances.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Limitations and Future Directions</w:t>
      </w:r>
    </w:p>
    <w:p>
      <w:pPr>
        <w:spacing w:after="0" w:before="0" w:line="480" w:lineRule="auto"/>
        <w:ind w:firstLine="720"/>
        <w:jc w:val="both"/>
      </w:pPr>
      <w:r>
        <w:rPr>
          <w:rFonts w:ascii="Times New Roman" w:cs="Times New Roman" w:eastAsia="Times New Roman" w:hAnsi="Times New Roman"/>
          <w:sz w:val="22"/>
          <w:szCs w:val="22"/>
        </w:rPr>
        <w:t xml:space="preserve">Several limitations should be considered when interpreting these findings. The cross-sectional design precludes any inference about temporal ordering: the predictors and outcomes were measured at the same time point, making it impossible to determine whether the identified risk factors precede, co-occur with, or are consequences of victimization or perpetration. All data are based on self-report, which is subject to social desirability bias, differential recall, and the possibility that some forms of violence—particularly perpetration—are systematically underreported. The sample, while representative of Spanish school-attending adolescents, does not include young people outside the educational system, who may present a substantially different and more concentrated risk profile. External validation in independent samples, including non-Spanish contexts, is necessary before any deployment consideration. At the technical level, the models were not audited for differential performance across demographic subgroups; fairness analysis is an essential step prior to any real-world application, as classifiers may perform unequally across gender, ethnic, or socioeconomic groups in ways that could introduce or amplify inequities. Finally, predictive models are susceptible to concept and data drift over time: the risk factor landscape and prevalence distributions that characterise the current sample may shift, requiring periodic recalibration. Future work should also examine whether model calibration—the correspondence between predicted probabilities and observed outcome rates—holds across the probability range, and should explore longitudinal designs to assess whether the identified predictor profiles genuinely precede the onset of victimization or perpetration involvement.</w:t>
      </w:r>
    </w:p>
    <w:p>
      <w:r>
        <w:br w:type="page"/>
      </w:r>
    </w:p>
    <w:p>
      <w:pPr>
        <w:spacing w:after="240" w:before="240" w:line="240" w:lineRule="auto"/>
        <w:jc w:val="center"/>
      </w:pPr>
      <w:r>
        <w:rPr>
          <w:rFonts w:ascii="Times New Roman" w:cs="Times New Roman" w:eastAsia="Times New Roman" w:hAnsi="Times New Roman"/>
          <w:b/>
          <w:bCs/>
          <w:color w:val="2E75B6"/>
          <w:sz w:val="22"/>
          <w:szCs w:val="22"/>
        </w:rPr>
        <w:t xml:space="preserve">─── VERSIÓN EN ESPAÑOL — REVISIÓN INTERNA DEL EQUIPO ───</w:t>
      </w:r>
    </w:p>
    <w:p>
      <w:pPr>
        <w:spacing w:after="240" w:before="480" w:line="480" w:lineRule="auto"/>
        <w:jc w:val="center"/>
      </w:pPr>
      <w:r>
        <w:rPr>
          <w:rFonts w:ascii="Times New Roman" w:cs="Times New Roman" w:eastAsia="Times New Roman" w:hAnsi="Times New Roman"/>
          <w:b/>
          <w:bCs/>
          <w:sz w:val="22"/>
          <w:szCs w:val="22"/>
        </w:rPr>
        <w:t xml:space="preserve">DISCUSIÓN</w:t>
      </w:r>
    </w:p>
    <w:p>
      <w:pPr>
        <w:spacing w:after="0" w:before="0" w:line="480" w:lineRule="auto"/>
        <w:ind w:firstLine="720"/>
        <w:jc w:val="both"/>
      </w:pPr>
      <w:r>
        <w:rPr>
          <w:rFonts w:ascii="Times New Roman" w:cs="Times New Roman" w:eastAsia="Times New Roman" w:hAnsi="Times New Roman"/>
          <w:sz w:val="22"/>
          <w:szCs w:val="22"/>
        </w:rPr>
        <w:t xml:space="preserve">Este estudio desarrolló y evaluó un sistema de tres clasificadores especializados basado en aprendizaje automático para identificar a adolescentes con perfiles predictores asociados a la victimización, la perpetración y el solapamiento víctima–perpetrador, a partir de una muestra representativa de base comunitaria formada por 4.024 adolescentes escolarizados en España. Los tres clasificadores alcanzaron tasas de recall de entre el 79,8% y el 90,5%, lo que indica que la gran mayoría de los adolescentes que cumplían los criterios de cada outcome fue correctamente identificada utilizando exclusivamente predictores globales de tipo psicosocial, de estilo de vida y contextual. Estos resultados contribuyen al conocimiento sobre el solapamiento víctima–agresor al demostrar que cada uno de los tres outcomes —victimización amplia, perpetración y su coexistencia— puede modelizarse con perfiles predictores distintos aunque parcialmente solapados, y que el solapamiento víctima–perpetrador funciona como un fenómeno con estructura predictora propia más que como una simple intersección de los otros dos (Yarkoni &amp; Westfall, 2017).</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Rendimiento Predictivo y la Compensación Recall–Precisión</w:t>
      </w:r>
    </w:p>
    <w:p>
      <w:pPr>
        <w:spacing w:after="0" w:before="0" w:line="480" w:lineRule="auto"/>
        <w:ind w:firstLine="720"/>
        <w:jc w:val="both"/>
      </w:pPr>
      <w:r>
        <w:rPr>
          <w:rFonts w:ascii="Times New Roman" w:cs="Times New Roman" w:eastAsia="Times New Roman" w:hAnsi="Times New Roman"/>
          <w:sz w:val="22"/>
          <w:szCs w:val="22"/>
        </w:rPr>
        <w:t xml:space="preserve">El diseño orientado al recall de los tres clasificadores refleja una posición ética consolidada en la investigación sobre cribado preventivo: cuando las consecuencias de omitir un caso genuino superan sustancialmente las de generar una alerta innecesaria —resoluble mediante evaluación profesional posterior— maximizar la sensibilidad a costa de la precisión resulta generalmente justificado (Berk et al., 2009; Berk &amp; Hyatt, 2015). Las tasas de falsos positivos obtenidas, especialmente para perpetración y solapamiento, son por tanto propiedades esperadas de un sistema de cribado, no deficiencias técnicas. En comparación con estudios previos de aprendizaje automático en dominios adyacentes —incluyendo la predicción de la perpetración de acoso escolar (Zhou et al., 2025), la conducta suicida (Weller et al., 2021) y el riesgo de violencia escolar (Ni et al., 2020)— el sistema alcanzó una sensibilidad comparable utilizando únicamente constructos de encuesta estandarizados, sin indicadores clínicos ni registros administrativos, lo que favorece su implementabilidad en contextos educativos (Rosenbusch et al., 2021). Una clasificación positiva debe ser tratada por los profesionales como una señal de priorización que requiere evaluación adicional, no como una determinación de estatus.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Significado Teórico de los Perfiles Predictores</w:t>
      </w:r>
    </w:p>
    <w:p>
      <w:pPr>
        <w:spacing w:after="0" w:before="0" w:line="480" w:lineRule="auto"/>
        <w:ind w:firstLine="720"/>
        <w:jc w:val="both"/>
      </w:pPr>
      <w:r>
        <w:rPr>
          <w:rFonts w:ascii="Times New Roman" w:cs="Times New Roman" w:eastAsia="Times New Roman" w:hAnsi="Times New Roman"/>
          <w:sz w:val="22"/>
          <w:szCs w:val="22"/>
        </w:rPr>
        <w:t xml:space="preserve">El hallazgo más consistente entre los tres clasificadores es un núcleo de vulnerabilidad compartido anclado en la composición del hogar, la conducta de fuga y los déficits en el apoyo social percibido. Este patrón es coherente con la perspectiva de la exposición (Hindelang et al., 1978; Cohen &amp; Felson, 1979), según la cual la inestabilidad familiar estructural y la disrupción residencial reducen simultáneamente el acceso a recursos protectores y aumentan la proximidad a situaciones de riesgo. La conducta de fuga es especialmente relevante: aparece en múltiples componentes predictores independientes, reflejando su doble función como consecuencia de la victimización previa y como vía de acceso a nuevos entornos de riesgo (Kaufman &amp; Widom, 1999; Sundin &amp; Baguley, 2015). El origen étnico minoritario y la orientación sexual no heterosexual contribuyeron al riesgo de victimización de forma coherente con los marcos del estrés de minoría (Pusch &amp; Holtfreter, 2021), mientras que la variabilidad —más que el nivel medio— del apoyo social y la autoeficacia emergió como predictivamente relevante, lo que sugiere que la inconsistencia de los recursos protectores puede ser tan importante como su magnitud en la organización del riesgo adolescente.</w:t>
      </w:r>
    </w:p>
    <w:p>
      <w:pPr>
        <w:spacing w:after="0" w:before="0" w:line="480" w:lineRule="auto"/>
        <w:ind w:firstLine="720"/>
        <w:jc w:val="both"/>
      </w:pPr>
      <w:r>
        <w:rPr>
          <w:rFonts w:ascii="Times New Roman" w:cs="Times New Roman" w:eastAsia="Times New Roman" w:hAnsi="Times New Roman"/>
          <w:sz w:val="22"/>
          <w:szCs w:val="22"/>
        </w:rPr>
        <w:t xml:space="preserve">El perfil de perpetración añadió tres predictores más específicos al núcleo compartido: la frecuencia del consumo de pornografía, la frecuencia del consumo de alcohol y la inestabilidad de la autoeficacia. El consumo de pornografía se alinea con la evidencia que vincula la exposición a material sexualmente explícito con expectativas coercitivas normalizadas y una inhibición reducida hacia la agresión (Wright et al., 2016; Gunnoo &amp; Powell, 2023). El consumo de alcohol es coherente con los mecanismos de desinhibición y alteración de la evaluación de amenazas documentados en la evidencia meta-analítica sobre intoxicación y violencia (Duke et al., 2018; Felson et al., 2008). Que la inestabilidad intraindividual de la autoeficacia —más que su nivel— diferencie a los perpetradores es consistente con los planteamientos de la teoría del control, en los que la capacidad de autorregulación fluctuante, más que los rasgos estables, constituye el factor proximal de la conducta delictiva (Gottfredson &amp; Hirschi, 1990; Pratt &amp; Cullen, 2000). En conjunto, el núcleo compartido y los factores específicos de perpetración respaldan un marco teórico integrado que combina la perspectiva de la exposición y la teoría del control, con ambos conjuntos de mecanismos operando en paralelo en los individuos de mayor riesgo (Berg &amp; Schreck, 2022).</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El Solapamiento Víctima–Perpetrador como Fenómeno Predictivo Propio</w:t>
      </w:r>
    </w:p>
    <w:p>
      <w:pPr>
        <w:spacing w:after="0" w:before="0" w:line="480" w:lineRule="auto"/>
        <w:ind w:firstLine="720"/>
        <w:jc w:val="both"/>
      </w:pPr>
      <w:r>
        <w:rPr>
          <w:rFonts w:ascii="Times New Roman" w:cs="Times New Roman" w:eastAsia="Times New Roman" w:hAnsi="Times New Roman"/>
          <w:sz w:val="22"/>
          <w:szCs w:val="22"/>
        </w:rPr>
        <w:t xml:space="preserve">Un hallazgo metodológico clave es que la red neuronal dedicada entrenada directamente sobre el outcome de doble rol superó a la regla conjuntiva Smart AND en todas las métricas excepto el recall, que se mantuvo equivalente en torno al 80%. La ventaja consistente en especificidad, precisión, VPN, F1 y exactitud balanceada sugiere que el grupo de solapamiento posee una firma predictora que no puede derivarse completamente de los perfiles independientes de victimización y perpetración —es decir, la combinación de factores de riesgo en los adolescentes de doble rol aporta información predictiva más allá de lo que capta cada clasificador por separado—. Esto tiene relevancia teórica: respalda los marcos que caracterizan el solapamiento víctima–agresor no como la intersección estadística de dos procesos de riesgo independientes, sino como un perfil evolutivamente diferenciado con sus propios determinantes (Jennings et al., 2012; Beckley et al., 2018). El análisis clúster exploratorio refuerza esta interpretación: dentro del clúster de víctimas con mayor concentración de perpetración (Clúster 3, n = 1.092), aproximadamente el 48% de los adolescentes cumplía también criterios de perpetración —aproximadamente el doble de la prevalencia de perpetración en la muestra completa del 23,5%— y se observaron tasas de victimización elevadas en clústeres específicos de perpetradores, coherentes con la tipología de perfiles reportada por Pereda y Guerra (2025) sobre la misma muestra.</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Implicaciones Prácticas</w:t>
      </w:r>
    </w:p>
    <w:p>
      <w:pPr>
        <w:spacing w:after="0" w:before="0" w:line="480" w:lineRule="auto"/>
        <w:ind w:firstLine="720"/>
        <w:jc w:val="both"/>
      </w:pPr>
      <w:r>
        <w:rPr>
          <w:rFonts w:ascii="Times New Roman" w:cs="Times New Roman" w:eastAsia="Times New Roman" w:hAnsi="Times New Roman"/>
          <w:sz w:val="22"/>
          <w:szCs w:val="22"/>
        </w:rPr>
        <w:t xml:space="preserve">La contribución más práctica del sistema reside en las puntuaciones de probabilidad continuas que genera para cada adolescente, que permiten una lógica de triaje escalonado: aquellos con las probabilidades estimadas más elevadas en cualquiera de los tres outcomes pueden priorizarse para evaluación estructurada inmediata, las puntuaciones intermedias pueden activar un seguimiento, y las puntuaciones bajas pueden utilizarse para reducir la intensidad del seguimiento —sin que ello implique descartar por completo la atención— dado que los VPN fueron especialmente elevados para perpetración y solapamiento, indicando que las clasificaciones negativas para estos outcomes fueron correctas en más de nueve de cada diez casos—. El núcleo predictor compartido entre los tres outcomes —inestabilidad del hogar, fugas, déficits en el apoyo social— sugiere además que los programas de prevención dirigidos a estos factores contextuales modificables pueden reducir simultáneamente la probabilidad de victimización, perpetración e implicación de doble rol, lo que apoya diseños de intervención integrados más que paralelos (Berg &amp; Schreck, 2022). En todos los contextos de despliegue, los profesionales deben estar formados para interpretar los resultados probabilísticos de forma adecuada, reconocer que las tasas de falsos positivos siguen siendo sustanciales y situar los resultados del modelo en el marco de una comprensión clínica más amplia de las circunstancias de cada adolescente. El sistema no está diseñado para sustituir el juicio profesional ni para producir determinaciones definitivas, sino para estructurar la asignación de la atención profesional bajo condiciones de recursos limitados.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Limitaciones y Líneas Futuras</w:t>
      </w:r>
    </w:p>
    <w:p>
      <w:pPr>
        <w:spacing w:after="0" w:before="0" w:line="480" w:lineRule="auto"/>
        <w:ind w:firstLine="720"/>
        <w:jc w:val="both"/>
      </w:pPr>
      <w:r>
        <w:rPr>
          <w:rFonts w:ascii="Times New Roman" w:cs="Times New Roman" w:eastAsia="Times New Roman" w:hAnsi="Times New Roman"/>
          <w:sz w:val="22"/>
          <w:szCs w:val="22"/>
        </w:rPr>
        <w:t xml:space="preserve">Deben considerarse varias limitaciones al interpretar estos hallazgos. El diseño transversal impide cualquier inferencia sobre el orden temporal: los predictores y los outcomes se midieron en el mismo punto temporal, lo que hace imposible determinar si los factores de riesgo identificados preceden, coocurren o son consecuencia de la victimización o la perpetración. Todos los datos se basan en autoinforme, que está sujeto al sesgo de deseabilidad social, al sesgo de recuerdo y a la posibilidad de que algunas formas de violencia —especialmente la perpetración— estén sistemáticamente infranotificadas. La muestra, aunque representativa de los adolescentes escolarizados en España, no incluye a jóvenes fuera del sistema educativo, quienes pueden presentar un perfil de riesgo sustancialmente diferente y más concentrado. La validación externa en muestras independientes, incluyendo contextos no españoles, es necesaria antes de cualquier consideración de despliegue. A nivel técnico, los modelos no fueron auditados para detectar diferencias de rendimiento entre subgrupos demográficos; el análisis de equidad es un paso esencial previo a cualquier aplicación real, ya que los clasificadores pueden rendir de forma desigual entre grupos de género, origen étnico o nivel socioeconómico, lo que podría introducir o amplificar inequidades. Por último, los modelos predictivos son susceptibles al desplazamiento conceptual y distribucional a lo largo del tiempo, lo que requeriría recalibración periódica. Futuros estudios deberían examinar si la calibración del modelo —la correspondencia entre las probabilidades predichas y las tasas de outcome observadas— se mantiene en todo el rango de probabilidades, y explorar diseños longitudinales para contrastar si los perfiles predictores identificados preceden genuinamente el inicio de la implicación en victimización o perpetración.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2026-06-10T14:30:15.467Z</dcterms:created>
  <dcterms:modified xsi:type="dcterms:W3CDTF">2026-06-10T14:30:15.472Z</dcterms:modified>
</cp:coreProperties>
</file>

<file path=docProps/custom.xml><?xml version="1.0" encoding="utf-8"?>
<Properties xmlns="http://schemas.openxmlformats.org/officeDocument/2006/custom-properties" xmlns:vt="http://schemas.openxmlformats.org/officeDocument/2006/docPropsVTypes"/>
</file>